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A617" w14:textId="77777777" w:rsidR="003C7E77" w:rsidRPr="00C3650A" w:rsidRDefault="003C7E77" w:rsidP="003C7E77">
      <w:pPr>
        <w:pStyle w:val="Title"/>
        <w:jc w:val="center"/>
        <w:rPr>
          <w:color w:val="auto"/>
          <w:sz w:val="48"/>
          <w:szCs w:val="48"/>
        </w:rPr>
      </w:pPr>
      <w:r w:rsidRPr="00C3650A">
        <w:rPr>
          <w:color w:val="auto"/>
          <w:sz w:val="48"/>
          <w:szCs w:val="48"/>
        </w:rPr>
        <w:t>North Tipperary Development Company</w:t>
      </w:r>
    </w:p>
    <w:p w14:paraId="4F8BC744" w14:textId="79BCFB07" w:rsidR="00CC5A9D" w:rsidRPr="00C3650A" w:rsidRDefault="003E77E1" w:rsidP="003C7E77">
      <w:pPr>
        <w:pStyle w:val="Title"/>
        <w:jc w:val="center"/>
        <w:rPr>
          <w:color w:val="auto"/>
          <w:sz w:val="48"/>
          <w:szCs w:val="48"/>
        </w:rPr>
      </w:pPr>
      <w:r w:rsidRPr="00C3650A">
        <w:rPr>
          <w:color w:val="auto"/>
          <w:sz w:val="48"/>
          <w:szCs w:val="48"/>
        </w:rPr>
        <w:t xml:space="preserve">Terms of Reference – Organisational </w:t>
      </w:r>
      <w:r w:rsidR="003C7E77" w:rsidRPr="00C3650A">
        <w:rPr>
          <w:color w:val="auto"/>
          <w:sz w:val="48"/>
          <w:szCs w:val="48"/>
        </w:rPr>
        <w:t>Review</w:t>
      </w:r>
    </w:p>
    <w:p w14:paraId="4068620E" w14:textId="77777777" w:rsidR="00787B20" w:rsidRPr="00C3650A" w:rsidRDefault="00787B20" w:rsidP="00787B20">
      <w:pPr>
        <w:pStyle w:val="Heading1"/>
        <w:spacing w:before="0" w:line="360" w:lineRule="auto"/>
        <w:ind w:left="0" w:firstLine="0"/>
        <w:jc w:val="both"/>
        <w:rPr>
          <w:color w:val="auto"/>
        </w:rPr>
      </w:pPr>
      <w:r w:rsidRPr="00C3650A">
        <w:rPr>
          <w:color w:val="auto"/>
        </w:rPr>
        <w:t>Background</w:t>
      </w:r>
    </w:p>
    <w:p w14:paraId="7D6F13F1" w14:textId="3B16752A" w:rsidR="00DB0399" w:rsidRPr="00CF541B" w:rsidRDefault="003C7E77" w:rsidP="00CF541B">
      <w:pPr>
        <w:jc w:val="both"/>
      </w:pPr>
      <w:r w:rsidRPr="00C3650A">
        <w:t xml:space="preserve">North Tipperary Development Company (NTDC) </w:t>
      </w:r>
      <w:r w:rsidR="00957A88" w:rsidRPr="00C3650A">
        <w:t xml:space="preserve">is </w:t>
      </w:r>
      <w:r w:rsidR="000306E7" w:rsidRPr="00C3650A">
        <w:t xml:space="preserve">a </w:t>
      </w:r>
      <w:r w:rsidR="00DB0399" w:rsidRPr="00C3650A">
        <w:t>not-for-profit</w:t>
      </w:r>
      <w:r w:rsidR="000306E7" w:rsidRPr="00C3650A">
        <w:t xml:space="preserve"> </w:t>
      </w:r>
      <w:r w:rsidR="00957A88" w:rsidRPr="00C3650A">
        <w:t xml:space="preserve">voluntary organisation </w:t>
      </w:r>
      <w:r w:rsidR="000306E7" w:rsidRPr="00C3650A">
        <w:t>with charitable status</w:t>
      </w:r>
      <w:r w:rsidR="00C23444">
        <w:t xml:space="preserve">. </w:t>
      </w:r>
      <w:r w:rsidR="00957A88" w:rsidRPr="00C3650A">
        <w:t xml:space="preserve"> </w:t>
      </w:r>
      <w:r w:rsidR="00CF541B">
        <w:t xml:space="preserve">It </w:t>
      </w:r>
      <w:r w:rsidR="00DB0399" w:rsidRPr="00C3650A">
        <w:rPr>
          <w:rFonts w:cstheme="minorHAnsi"/>
        </w:rPr>
        <w:t xml:space="preserve">is a local development company responsible for the delivery of a range of rural enterprise, social inclusion, and community development initiatives in the Tipperary North County area. It is a </w:t>
      </w:r>
      <w:r w:rsidR="00FD4D93" w:rsidRPr="00C3650A">
        <w:rPr>
          <w:rFonts w:cstheme="minorHAnsi"/>
        </w:rPr>
        <w:t xml:space="preserve">not-for-profit voluntary organisation. </w:t>
      </w:r>
      <w:r w:rsidR="00DB0399" w:rsidRPr="00C3650A">
        <w:rPr>
          <w:rFonts w:cstheme="minorHAnsi"/>
        </w:rPr>
        <w:t xml:space="preserve">The purpose of NTDC is to act as a voluntary, non-profit making, private limited company with a mission to promote social inclusion, promote economic development, increase employment and enterprise opportunities, and promote wider participation in voluntary activity for the people of the area.   </w:t>
      </w:r>
    </w:p>
    <w:p w14:paraId="158AE2A9" w14:textId="77777777" w:rsidR="00612C29" w:rsidRPr="00C3650A" w:rsidRDefault="00612C29" w:rsidP="00491343">
      <w:pPr>
        <w:spacing w:after="0"/>
        <w:jc w:val="both"/>
        <w:rPr>
          <w:rFonts w:cstheme="minorHAnsi"/>
        </w:rPr>
      </w:pPr>
      <w:r w:rsidRPr="00C3650A">
        <w:rPr>
          <w:rFonts w:cstheme="minorHAnsi"/>
        </w:rPr>
        <w:t>NTDC has grown significantly, and now directly employs over 80 people and 150 participants through supported employment programmes across a range of programmes in the North Tipperary area. Staff work delivering the following main programmes.</w:t>
      </w:r>
    </w:p>
    <w:p w14:paraId="0C262B70" w14:textId="77777777" w:rsidR="00612C29" w:rsidRPr="00C3650A" w:rsidRDefault="00612C29" w:rsidP="00491343">
      <w:pPr>
        <w:numPr>
          <w:ilvl w:val="0"/>
          <w:numId w:val="11"/>
        </w:numPr>
        <w:spacing w:after="0"/>
        <w:ind w:left="1080"/>
        <w:contextualSpacing/>
        <w:rPr>
          <w:rFonts w:cstheme="minorHAnsi"/>
          <w:lang w:eastAsia="en-IE"/>
        </w:rPr>
      </w:pPr>
      <w:r w:rsidRPr="00C3650A">
        <w:rPr>
          <w:rFonts w:eastAsiaTheme="minorEastAsia" w:cstheme="minorHAnsi"/>
          <w:kern w:val="24"/>
          <w:lang w:eastAsia="en-IE"/>
        </w:rPr>
        <w:t>Ascend Domestic Abuse Service</w:t>
      </w:r>
    </w:p>
    <w:p w14:paraId="2F5D2A73" w14:textId="77777777" w:rsidR="00612C29" w:rsidRPr="00C3650A" w:rsidRDefault="00612C29" w:rsidP="00491343">
      <w:pPr>
        <w:numPr>
          <w:ilvl w:val="0"/>
          <w:numId w:val="11"/>
        </w:numPr>
        <w:spacing w:after="0"/>
        <w:ind w:left="1080"/>
        <w:contextualSpacing/>
        <w:rPr>
          <w:rFonts w:cstheme="minorHAnsi"/>
          <w:lang w:eastAsia="en-IE"/>
        </w:rPr>
      </w:pPr>
      <w:r w:rsidRPr="00C3650A">
        <w:rPr>
          <w:rFonts w:eastAsiaTheme="minorEastAsia" w:cstheme="minorHAnsi"/>
          <w:kern w:val="24"/>
          <w:lang w:eastAsia="en-IE"/>
        </w:rPr>
        <w:t>Roscrea Youth Services</w:t>
      </w:r>
      <w:r w:rsidRPr="00C3650A">
        <w:rPr>
          <w:rFonts w:cstheme="minorHAnsi"/>
          <w:lang w:eastAsia="en-IE"/>
        </w:rPr>
        <w:t xml:space="preserve"> – UBU, IYJS, Family Support, Youth Counselling </w:t>
      </w:r>
    </w:p>
    <w:p w14:paraId="2432518D" w14:textId="77777777" w:rsidR="00612C29" w:rsidRPr="00C3650A" w:rsidRDefault="00612C29" w:rsidP="00491343">
      <w:pPr>
        <w:numPr>
          <w:ilvl w:val="0"/>
          <w:numId w:val="11"/>
        </w:numPr>
        <w:spacing w:after="0"/>
        <w:ind w:left="1080"/>
        <w:contextualSpacing/>
        <w:rPr>
          <w:rFonts w:cstheme="minorHAnsi"/>
          <w:lang w:eastAsia="en-IE"/>
        </w:rPr>
      </w:pPr>
      <w:r w:rsidRPr="00C3650A">
        <w:rPr>
          <w:rFonts w:eastAsiaTheme="minorEastAsia" w:cstheme="minorHAnsi"/>
          <w:kern w:val="24"/>
          <w:lang w:eastAsia="en-IE"/>
        </w:rPr>
        <w:t xml:space="preserve">LEADER, RDP 2024 - 2028 </w:t>
      </w:r>
    </w:p>
    <w:p w14:paraId="396F448C" w14:textId="77777777" w:rsidR="00612C29" w:rsidRPr="00C3650A" w:rsidRDefault="00612C29" w:rsidP="00491343">
      <w:pPr>
        <w:numPr>
          <w:ilvl w:val="0"/>
          <w:numId w:val="11"/>
        </w:numPr>
        <w:spacing w:after="0"/>
        <w:ind w:left="1080"/>
        <w:contextualSpacing/>
        <w:rPr>
          <w:rFonts w:cstheme="minorHAnsi"/>
          <w:lang w:eastAsia="en-IE"/>
        </w:rPr>
      </w:pPr>
      <w:r w:rsidRPr="00C3650A">
        <w:rPr>
          <w:rFonts w:eastAsiaTheme="minorEastAsia" w:cstheme="minorHAnsi"/>
          <w:kern w:val="24"/>
          <w:lang w:eastAsia="en-IE"/>
        </w:rPr>
        <w:t>SICAP 2023 – 2028</w:t>
      </w:r>
    </w:p>
    <w:p w14:paraId="7CA57CC8" w14:textId="77777777" w:rsidR="00612C29" w:rsidRPr="00C3650A" w:rsidRDefault="00612C29" w:rsidP="00491343">
      <w:pPr>
        <w:numPr>
          <w:ilvl w:val="0"/>
          <w:numId w:val="11"/>
        </w:numPr>
        <w:spacing w:after="0"/>
        <w:ind w:left="1080"/>
        <w:contextualSpacing/>
        <w:rPr>
          <w:rFonts w:cstheme="minorHAnsi"/>
          <w:lang w:eastAsia="en-IE"/>
        </w:rPr>
      </w:pPr>
      <w:r w:rsidRPr="00C3650A">
        <w:rPr>
          <w:rFonts w:eastAsiaTheme="minorEastAsia" w:cstheme="minorHAnsi"/>
          <w:kern w:val="24"/>
          <w:lang w:eastAsia="en-IE"/>
        </w:rPr>
        <w:t>New Arrivals Programme</w:t>
      </w:r>
    </w:p>
    <w:p w14:paraId="73B10142" w14:textId="77777777" w:rsidR="00612C29" w:rsidRPr="00C3650A" w:rsidRDefault="00612C29" w:rsidP="00491343">
      <w:pPr>
        <w:numPr>
          <w:ilvl w:val="0"/>
          <w:numId w:val="11"/>
        </w:numPr>
        <w:spacing w:after="0"/>
        <w:ind w:left="1080"/>
        <w:contextualSpacing/>
        <w:rPr>
          <w:rFonts w:cstheme="minorHAnsi"/>
          <w:lang w:eastAsia="en-IE"/>
        </w:rPr>
      </w:pPr>
      <w:r w:rsidRPr="00C3650A">
        <w:rPr>
          <w:rFonts w:eastAsiaTheme="minorEastAsia" w:cstheme="minorHAnsi"/>
          <w:kern w:val="24"/>
          <w:lang w:eastAsia="en-IE"/>
        </w:rPr>
        <w:t>Traveller Programme</w:t>
      </w:r>
    </w:p>
    <w:p w14:paraId="688A43E0" w14:textId="77777777" w:rsidR="00612C29" w:rsidRPr="00C3650A" w:rsidRDefault="00612C29" w:rsidP="00491343">
      <w:pPr>
        <w:numPr>
          <w:ilvl w:val="0"/>
          <w:numId w:val="11"/>
        </w:numPr>
        <w:spacing w:after="0"/>
        <w:ind w:left="1080"/>
        <w:contextualSpacing/>
        <w:rPr>
          <w:rFonts w:cstheme="minorHAnsi"/>
          <w:lang w:eastAsia="en-IE"/>
        </w:rPr>
      </w:pPr>
      <w:r w:rsidRPr="00C3650A">
        <w:rPr>
          <w:rFonts w:eastAsiaTheme="minorEastAsia" w:cstheme="minorHAnsi"/>
          <w:kern w:val="24"/>
          <w:lang w:eastAsia="en-IE"/>
        </w:rPr>
        <w:t>Childcare Services</w:t>
      </w:r>
    </w:p>
    <w:p w14:paraId="1B5ACECE" w14:textId="77777777" w:rsidR="00612C29" w:rsidRPr="00C3650A" w:rsidRDefault="00612C29" w:rsidP="00491343">
      <w:pPr>
        <w:numPr>
          <w:ilvl w:val="0"/>
          <w:numId w:val="11"/>
        </w:numPr>
        <w:spacing w:after="0"/>
        <w:ind w:left="1080"/>
        <w:contextualSpacing/>
        <w:rPr>
          <w:rFonts w:cstheme="minorHAnsi"/>
          <w:lang w:eastAsia="en-IE"/>
        </w:rPr>
      </w:pPr>
      <w:r w:rsidRPr="00C3650A">
        <w:rPr>
          <w:rFonts w:eastAsiaTheme="minorEastAsia" w:cstheme="minorHAnsi"/>
          <w:kern w:val="24"/>
          <w:lang w:eastAsia="en-IE"/>
        </w:rPr>
        <w:t xml:space="preserve">Local Area Employment Service </w:t>
      </w:r>
    </w:p>
    <w:p w14:paraId="05BC73EE" w14:textId="77777777" w:rsidR="00612C29" w:rsidRPr="00C3650A" w:rsidRDefault="00612C29" w:rsidP="00491343">
      <w:pPr>
        <w:numPr>
          <w:ilvl w:val="0"/>
          <w:numId w:val="11"/>
        </w:numPr>
        <w:spacing w:after="0"/>
        <w:ind w:left="1080"/>
        <w:contextualSpacing/>
        <w:rPr>
          <w:rFonts w:cstheme="minorHAnsi"/>
          <w:lang w:eastAsia="en-IE"/>
        </w:rPr>
      </w:pPr>
      <w:r w:rsidRPr="00C3650A">
        <w:rPr>
          <w:rFonts w:eastAsiaTheme="minorEastAsia" w:cstheme="minorHAnsi"/>
          <w:kern w:val="24"/>
          <w:lang w:eastAsia="en-IE"/>
        </w:rPr>
        <w:t xml:space="preserve">DSP Employment Programmes – </w:t>
      </w:r>
      <w:proofErr w:type="spellStart"/>
      <w:r w:rsidRPr="00C3650A">
        <w:rPr>
          <w:rFonts w:eastAsiaTheme="minorEastAsia" w:cstheme="minorHAnsi"/>
          <w:kern w:val="24"/>
          <w:lang w:eastAsia="en-IE"/>
        </w:rPr>
        <w:t>Tús</w:t>
      </w:r>
      <w:proofErr w:type="spellEnd"/>
      <w:r w:rsidRPr="00C3650A">
        <w:rPr>
          <w:rFonts w:eastAsiaTheme="minorEastAsia" w:cstheme="minorHAnsi"/>
          <w:kern w:val="24"/>
          <w:lang w:eastAsia="en-IE"/>
        </w:rPr>
        <w:t>/RSS &amp; Community Employment</w:t>
      </w:r>
    </w:p>
    <w:p w14:paraId="29B822B1" w14:textId="77777777" w:rsidR="00612C29" w:rsidRPr="00C3650A" w:rsidRDefault="00612C29" w:rsidP="00491343">
      <w:pPr>
        <w:numPr>
          <w:ilvl w:val="0"/>
          <w:numId w:val="11"/>
        </w:numPr>
        <w:spacing w:after="0"/>
        <w:ind w:left="1080"/>
        <w:contextualSpacing/>
        <w:rPr>
          <w:rFonts w:cstheme="minorHAnsi"/>
          <w:lang w:eastAsia="en-IE"/>
        </w:rPr>
      </w:pPr>
      <w:r w:rsidRPr="00C3650A">
        <w:rPr>
          <w:rFonts w:eastAsiaTheme="minorEastAsia" w:cstheme="minorHAnsi"/>
          <w:kern w:val="24"/>
          <w:lang w:eastAsia="en-IE"/>
        </w:rPr>
        <w:t>Meals On Wheels Services</w:t>
      </w:r>
    </w:p>
    <w:p w14:paraId="68BB2CFE" w14:textId="77777777" w:rsidR="00612C29" w:rsidRPr="00C3650A" w:rsidRDefault="00612C29" w:rsidP="00612C29">
      <w:pPr>
        <w:spacing w:after="0"/>
        <w:jc w:val="both"/>
      </w:pPr>
    </w:p>
    <w:p w14:paraId="43237EB4" w14:textId="0ED67D06" w:rsidR="005E4528" w:rsidRPr="00C3650A" w:rsidRDefault="00033256" w:rsidP="0003325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NTDC aims to promote social inclusion, promote economic development, increase employment and enterprise opportunities, and promote wider participation in voluntary activity for the people of the area.   </w:t>
      </w:r>
      <w:r w:rsidR="005F61D2" w:rsidRPr="00C3650A">
        <w:rPr>
          <w:rFonts w:asciiTheme="minorHAnsi" w:hAnsiTheme="minorHAnsi" w:cstheme="minorHAnsi"/>
          <w:color w:val="auto"/>
          <w:sz w:val="22"/>
          <w:szCs w:val="22"/>
        </w:rPr>
        <w:t>NTDC</w:t>
      </w:r>
      <w:r w:rsidR="00595289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’s current </w:t>
      </w:r>
      <w:r w:rsidR="00E41B0C" w:rsidRPr="00C3650A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3E77E1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trategic </w:t>
      </w:r>
      <w:r w:rsidR="00957A88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Plan </w:t>
      </w:r>
      <w:r w:rsidR="00E51D27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is for a </w:t>
      </w:r>
      <w:r w:rsidR="00595289" w:rsidRPr="00C3650A">
        <w:rPr>
          <w:rFonts w:asciiTheme="minorHAnsi" w:hAnsiTheme="minorHAnsi" w:cstheme="minorHAnsi"/>
          <w:color w:val="auto"/>
          <w:sz w:val="22"/>
          <w:szCs w:val="22"/>
        </w:rPr>
        <w:t>5-year</w:t>
      </w:r>
      <w:r w:rsidR="00E51D27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 period (20</w:t>
      </w:r>
      <w:r w:rsidR="00A9654A">
        <w:rPr>
          <w:rFonts w:asciiTheme="minorHAnsi" w:hAnsiTheme="minorHAnsi" w:cstheme="minorHAnsi"/>
          <w:color w:val="auto"/>
          <w:sz w:val="22"/>
          <w:szCs w:val="22"/>
        </w:rPr>
        <w:t>21</w:t>
      </w:r>
      <w:r w:rsidR="00E51D27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 – 2</w:t>
      </w:r>
      <w:r w:rsidR="00E51D27" w:rsidRPr="00A9654A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A9654A" w:rsidRPr="00A9654A">
        <w:rPr>
          <w:rFonts w:asciiTheme="minorHAnsi" w:hAnsiTheme="minorHAnsi" w:cstheme="minorHAnsi"/>
          <w:color w:val="auto"/>
          <w:sz w:val="22"/>
          <w:szCs w:val="22"/>
        </w:rPr>
        <w:t>25</w:t>
      </w:r>
      <w:r w:rsidR="00E51D27" w:rsidRPr="00A9654A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3E77E1" w:rsidRPr="00A965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A88" w:rsidRPr="00A9654A">
        <w:rPr>
          <w:rFonts w:asciiTheme="minorHAnsi" w:hAnsiTheme="minorHAnsi" w:cstheme="minorHAnsi"/>
          <w:color w:val="auto"/>
          <w:sz w:val="22"/>
          <w:szCs w:val="22"/>
        </w:rPr>
        <w:t>and the</w:t>
      </w:r>
      <w:r w:rsidR="00957A88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F61D2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goals and </w:t>
      </w:r>
      <w:r w:rsidR="00595289" w:rsidRPr="00C3650A">
        <w:rPr>
          <w:rFonts w:asciiTheme="minorHAnsi" w:hAnsiTheme="minorHAnsi" w:cstheme="minorHAnsi"/>
          <w:color w:val="auto"/>
          <w:sz w:val="22"/>
          <w:szCs w:val="22"/>
        </w:rPr>
        <w:t>objectives</w:t>
      </w:r>
      <w:r w:rsidR="005F61D2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A88" w:rsidRPr="00C3650A">
        <w:rPr>
          <w:rFonts w:asciiTheme="minorHAnsi" w:hAnsiTheme="minorHAnsi" w:cstheme="minorHAnsi"/>
          <w:color w:val="auto"/>
          <w:sz w:val="22"/>
          <w:szCs w:val="22"/>
        </w:rPr>
        <w:t>of th</w:t>
      </w:r>
      <w:r w:rsidR="00D52BCF" w:rsidRPr="00C3650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957A88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 Strategic Plan are attached. </w:t>
      </w:r>
      <w:r w:rsidR="003E77E1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51D27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One strand of the Strategic Plan </w:t>
      </w:r>
      <w:r w:rsidR="004F722E" w:rsidRPr="00C3650A">
        <w:rPr>
          <w:rFonts w:asciiTheme="minorHAnsi" w:hAnsiTheme="minorHAnsi" w:cstheme="minorHAnsi"/>
          <w:color w:val="auto"/>
          <w:sz w:val="22"/>
          <w:szCs w:val="22"/>
        </w:rPr>
        <w:t>(Objectives 5.2 and 5.6</w:t>
      </w:r>
      <w:r w:rsidR="00EA4384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 specifically</w:t>
      </w:r>
      <w:r w:rsidR="004F722E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E51D27" w:rsidRPr="00C3650A">
        <w:rPr>
          <w:rFonts w:asciiTheme="minorHAnsi" w:hAnsiTheme="minorHAnsi" w:cstheme="minorHAnsi"/>
          <w:color w:val="auto"/>
          <w:sz w:val="22"/>
          <w:szCs w:val="22"/>
        </w:rPr>
        <w:t>relates to Organisational Development</w:t>
      </w:r>
      <w:r w:rsidR="001C7DE9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. In view of this NTDC is now seeking </w:t>
      </w:r>
      <w:r w:rsidR="00AB26F3" w:rsidRPr="00C3650A">
        <w:rPr>
          <w:rFonts w:asciiTheme="minorHAnsi" w:hAnsiTheme="minorHAnsi" w:cstheme="minorHAnsi"/>
          <w:color w:val="auto"/>
          <w:sz w:val="22"/>
          <w:szCs w:val="22"/>
        </w:rPr>
        <w:t>to contract a</w:t>
      </w:r>
      <w:r w:rsidR="00EE197A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n external </w:t>
      </w:r>
      <w:r w:rsidR="00AB26F3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consultant with </w:t>
      </w:r>
      <w:r w:rsidR="006470C9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expertise in organisational development to assist the Company </w:t>
      </w:r>
      <w:r w:rsidR="00931410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to review its current structures and resources </w:t>
      </w:r>
      <w:r w:rsidR="00CE6DE1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and </w:t>
      </w:r>
      <w:r w:rsidR="00041FE3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develop a plan of action which would facilitate NTDC to maximise its </w:t>
      </w:r>
      <w:r w:rsidR="00B60FEF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capacity to respond to the needs of communities in North Tipperary </w:t>
      </w:r>
      <w:r w:rsidR="005E4528" w:rsidRPr="00C3650A">
        <w:rPr>
          <w:rFonts w:asciiTheme="minorHAnsi" w:hAnsiTheme="minorHAnsi" w:cstheme="minorHAnsi"/>
          <w:color w:val="auto"/>
          <w:sz w:val="22"/>
          <w:szCs w:val="22"/>
        </w:rPr>
        <w:t xml:space="preserve">in the coming 5 – 10 years. </w:t>
      </w:r>
    </w:p>
    <w:p w14:paraId="17448C23" w14:textId="77777777" w:rsidR="00EE21C1" w:rsidRPr="00C3650A" w:rsidRDefault="00EE21C1" w:rsidP="00CD0D5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B990CE" w14:textId="77777777" w:rsidR="003E77E1" w:rsidRPr="00C3650A" w:rsidRDefault="003E77E1" w:rsidP="001C3100">
      <w:pPr>
        <w:pStyle w:val="Heading1"/>
        <w:spacing w:before="0" w:after="240"/>
        <w:ind w:left="720" w:hanging="720"/>
        <w:jc w:val="both"/>
        <w:rPr>
          <w:color w:val="auto"/>
        </w:rPr>
      </w:pPr>
      <w:r w:rsidRPr="00C3650A">
        <w:rPr>
          <w:color w:val="auto"/>
        </w:rPr>
        <w:t>Purpose</w:t>
      </w:r>
    </w:p>
    <w:p w14:paraId="46F4E010" w14:textId="77777777" w:rsidR="003E77E1" w:rsidRPr="00C3650A" w:rsidRDefault="00E92F62" w:rsidP="00A64202">
      <w:pPr>
        <w:spacing w:after="240"/>
        <w:jc w:val="both"/>
      </w:pPr>
      <w:r w:rsidRPr="00C3650A">
        <w:t xml:space="preserve">The purpose of this review is to </w:t>
      </w:r>
      <w:r w:rsidR="00087FE9" w:rsidRPr="00C3650A">
        <w:t xml:space="preserve">examine </w:t>
      </w:r>
      <w:r w:rsidRPr="00C3650A">
        <w:t>the following:</w:t>
      </w:r>
    </w:p>
    <w:p w14:paraId="10BCDEF4" w14:textId="1420AABB" w:rsidR="0096790F" w:rsidRPr="00C3650A" w:rsidRDefault="00526462" w:rsidP="00F25074">
      <w:pPr>
        <w:pStyle w:val="ListParagraph"/>
        <w:numPr>
          <w:ilvl w:val="0"/>
          <w:numId w:val="2"/>
        </w:numPr>
        <w:jc w:val="both"/>
      </w:pPr>
      <w:r w:rsidRPr="00C3650A">
        <w:t xml:space="preserve">OVERALL </w:t>
      </w:r>
      <w:r w:rsidR="0096790F" w:rsidRPr="00C3650A">
        <w:t>ORGANISATIONAL STRUCTURE:</w:t>
      </w:r>
    </w:p>
    <w:p w14:paraId="422D20C1" w14:textId="25E4E916" w:rsidR="00F11B42" w:rsidRPr="00C3650A" w:rsidRDefault="00E92F62" w:rsidP="0096790F">
      <w:pPr>
        <w:pStyle w:val="ListParagraph"/>
        <w:numPr>
          <w:ilvl w:val="1"/>
          <w:numId w:val="2"/>
        </w:numPr>
        <w:jc w:val="both"/>
      </w:pPr>
      <w:r w:rsidRPr="00C3650A">
        <w:t xml:space="preserve">Does the </w:t>
      </w:r>
      <w:r w:rsidR="00EE21C1" w:rsidRPr="00C3650A">
        <w:t xml:space="preserve">current </w:t>
      </w:r>
      <w:r w:rsidRPr="00C3650A">
        <w:t xml:space="preserve">structure allow the </w:t>
      </w:r>
      <w:r w:rsidR="00F54C17" w:rsidRPr="00C3650A">
        <w:t>Company</w:t>
      </w:r>
      <w:r w:rsidRPr="00C3650A">
        <w:t xml:space="preserve"> to deliver </w:t>
      </w:r>
      <w:r w:rsidR="00140435" w:rsidRPr="00C3650A">
        <w:t xml:space="preserve">effectively </w:t>
      </w:r>
      <w:r w:rsidRPr="00C3650A">
        <w:t xml:space="preserve">on its </w:t>
      </w:r>
      <w:r w:rsidR="00491343" w:rsidRPr="00C3650A">
        <w:t xml:space="preserve">goals and </w:t>
      </w:r>
      <w:r w:rsidRPr="00C3650A">
        <w:t>objectives</w:t>
      </w:r>
      <w:r w:rsidR="00F11B42" w:rsidRPr="00C3650A">
        <w:t>?</w:t>
      </w:r>
    </w:p>
    <w:p w14:paraId="3B44AC9E" w14:textId="4FD6AD99" w:rsidR="008C7C62" w:rsidRPr="00B62DC2" w:rsidRDefault="00F11B42" w:rsidP="0096790F">
      <w:pPr>
        <w:pStyle w:val="ListParagraph"/>
        <w:numPr>
          <w:ilvl w:val="1"/>
          <w:numId w:val="2"/>
        </w:numPr>
        <w:jc w:val="both"/>
      </w:pPr>
      <w:r w:rsidRPr="00B62DC2">
        <w:t xml:space="preserve">Does the </w:t>
      </w:r>
      <w:r w:rsidR="00EE21C1" w:rsidRPr="00B62DC2">
        <w:t xml:space="preserve">current </w:t>
      </w:r>
      <w:r w:rsidRPr="00B62DC2">
        <w:t>structure</w:t>
      </w:r>
      <w:r w:rsidR="00F54C17" w:rsidRPr="00B62DC2">
        <w:t xml:space="preserve"> </w:t>
      </w:r>
      <w:r w:rsidR="00A92E1F" w:rsidRPr="00B62DC2">
        <w:t xml:space="preserve">facilitate the Company </w:t>
      </w:r>
      <w:r w:rsidR="00693CDD" w:rsidRPr="00B62DC2">
        <w:t xml:space="preserve">to </w:t>
      </w:r>
      <w:r w:rsidR="008B6F92" w:rsidRPr="00B62DC2">
        <w:t xml:space="preserve">maximise its capacity to </w:t>
      </w:r>
      <w:r w:rsidR="00D820E7" w:rsidRPr="00B62DC2">
        <w:t xml:space="preserve">work with </w:t>
      </w:r>
      <w:r w:rsidR="00EB2A2E" w:rsidRPr="00B62DC2">
        <w:t xml:space="preserve">local </w:t>
      </w:r>
      <w:r w:rsidR="00D820E7" w:rsidRPr="00B62DC2">
        <w:t xml:space="preserve">communities to promote </w:t>
      </w:r>
      <w:r w:rsidR="0098329F" w:rsidRPr="00B62DC2">
        <w:t xml:space="preserve">local development </w:t>
      </w:r>
      <w:r w:rsidR="00E46870" w:rsidRPr="00B62DC2">
        <w:t xml:space="preserve">and </w:t>
      </w:r>
      <w:r w:rsidR="00D909D5" w:rsidRPr="00B62DC2">
        <w:t xml:space="preserve">deliver on its objectives </w:t>
      </w:r>
      <w:r w:rsidR="00137F40" w:rsidRPr="00B62DC2">
        <w:t>in a manner that is</w:t>
      </w:r>
      <w:r w:rsidR="003A6051" w:rsidRPr="00B62DC2">
        <w:t xml:space="preserve"> </w:t>
      </w:r>
      <w:r w:rsidR="00573637" w:rsidRPr="00B62DC2">
        <w:t xml:space="preserve">consistent </w:t>
      </w:r>
      <w:r w:rsidR="002310D4" w:rsidRPr="00B62DC2">
        <w:t>with best practice</w:t>
      </w:r>
      <w:r w:rsidR="00EB2A2E" w:rsidRPr="00B62DC2">
        <w:t xml:space="preserve"> in the sector</w:t>
      </w:r>
      <w:r w:rsidR="00112815" w:rsidRPr="00B62DC2">
        <w:t>?</w:t>
      </w:r>
      <w:r w:rsidR="002310D4" w:rsidRPr="00B62DC2">
        <w:t xml:space="preserve"> </w:t>
      </w:r>
      <w:r w:rsidR="00E92F62" w:rsidRPr="00B62DC2">
        <w:t xml:space="preserve"> </w:t>
      </w:r>
    </w:p>
    <w:p w14:paraId="7EE299EB" w14:textId="119CA682" w:rsidR="0079310E" w:rsidRPr="00B62DC2" w:rsidRDefault="00335603" w:rsidP="00D90062">
      <w:pPr>
        <w:pStyle w:val="ListParagraph"/>
        <w:numPr>
          <w:ilvl w:val="1"/>
          <w:numId w:val="2"/>
        </w:numPr>
        <w:jc w:val="both"/>
      </w:pPr>
      <w:r w:rsidRPr="00B62DC2">
        <w:t xml:space="preserve">How does the </w:t>
      </w:r>
      <w:r w:rsidR="00CE2BF2" w:rsidRPr="00B62DC2">
        <w:t xml:space="preserve">current funding model </w:t>
      </w:r>
      <w:r w:rsidR="009F433B" w:rsidRPr="00B62DC2">
        <w:t xml:space="preserve">support the </w:t>
      </w:r>
      <w:r w:rsidR="009C5DB6" w:rsidRPr="00B62DC2">
        <w:t xml:space="preserve">sustainability of the Company </w:t>
      </w:r>
      <w:r w:rsidR="0079310E" w:rsidRPr="00B62DC2">
        <w:t xml:space="preserve">and </w:t>
      </w:r>
      <w:r w:rsidR="009C5DB6" w:rsidRPr="00B62DC2">
        <w:t xml:space="preserve">facilitate it </w:t>
      </w:r>
      <w:r w:rsidR="00152913" w:rsidRPr="00B62DC2">
        <w:t xml:space="preserve">to maximise its capacity to deliver on its </w:t>
      </w:r>
      <w:r w:rsidR="00B96330" w:rsidRPr="00B62DC2">
        <w:t xml:space="preserve">vision, mission and goals </w:t>
      </w:r>
      <w:r w:rsidR="00A01A97" w:rsidRPr="00B62DC2">
        <w:t xml:space="preserve">in a manner that is consistent with best </w:t>
      </w:r>
      <w:r w:rsidR="005718CF" w:rsidRPr="00B62DC2">
        <w:t>practice in the sector</w:t>
      </w:r>
      <w:r w:rsidR="008806A8" w:rsidRPr="00B62DC2">
        <w:t xml:space="preserve">? </w:t>
      </w:r>
    </w:p>
    <w:p w14:paraId="549EFBF8" w14:textId="549B9A32" w:rsidR="00112815" w:rsidRPr="00C3650A" w:rsidRDefault="002F5013" w:rsidP="0096790F">
      <w:pPr>
        <w:pStyle w:val="ListParagraph"/>
        <w:numPr>
          <w:ilvl w:val="1"/>
          <w:numId w:val="2"/>
        </w:numPr>
        <w:jc w:val="both"/>
      </w:pPr>
      <w:r w:rsidRPr="00C3650A">
        <w:t xml:space="preserve">What is working and not working within the current structure and how does the structure need to be developed to enable </w:t>
      </w:r>
      <w:r w:rsidR="00087FE9" w:rsidRPr="00C3650A">
        <w:t xml:space="preserve">the </w:t>
      </w:r>
      <w:r w:rsidR="00E7291F" w:rsidRPr="00C3650A">
        <w:t>Company</w:t>
      </w:r>
      <w:r w:rsidR="00087FE9" w:rsidRPr="00C3650A">
        <w:t xml:space="preserve"> to </w:t>
      </w:r>
      <w:r w:rsidRPr="00C3650A">
        <w:t xml:space="preserve">optimise its capacity to </w:t>
      </w:r>
      <w:r w:rsidR="00087FE9" w:rsidRPr="00C3650A">
        <w:t>deliver a quality service and achieve its objectives?</w:t>
      </w:r>
    </w:p>
    <w:p w14:paraId="19CBDE11" w14:textId="5E0068E8" w:rsidR="007809D9" w:rsidRPr="00C3650A" w:rsidRDefault="002231C7" w:rsidP="00F25074">
      <w:pPr>
        <w:pStyle w:val="ListParagraph"/>
        <w:numPr>
          <w:ilvl w:val="0"/>
          <w:numId w:val="2"/>
        </w:numPr>
        <w:jc w:val="both"/>
      </w:pPr>
      <w:r w:rsidRPr="00C3650A">
        <w:lastRenderedPageBreak/>
        <w:t>PERSONNEL</w:t>
      </w:r>
      <w:r w:rsidR="00AD0C26" w:rsidRPr="00C3650A">
        <w:t xml:space="preserve"> RESOURCES AND EXPERTISE</w:t>
      </w:r>
      <w:r w:rsidR="007809D9" w:rsidRPr="00C3650A">
        <w:t xml:space="preserve">: </w:t>
      </w:r>
    </w:p>
    <w:p w14:paraId="72353960" w14:textId="5A75CF57" w:rsidR="00112815" w:rsidRPr="00B62DC2" w:rsidRDefault="00112815" w:rsidP="007809D9">
      <w:pPr>
        <w:pStyle w:val="ListParagraph"/>
        <w:numPr>
          <w:ilvl w:val="1"/>
          <w:numId w:val="2"/>
        </w:numPr>
        <w:jc w:val="both"/>
      </w:pPr>
      <w:r w:rsidRPr="00B62DC2">
        <w:t xml:space="preserve">Is there an appropriate match between </w:t>
      </w:r>
      <w:r w:rsidR="00562A0E" w:rsidRPr="00B62DC2">
        <w:t xml:space="preserve">the range of programmes and initiatives the organisation is seeking to deliver and </w:t>
      </w:r>
      <w:r w:rsidR="004739AF" w:rsidRPr="00B62DC2">
        <w:t xml:space="preserve">the allocation of </w:t>
      </w:r>
      <w:r w:rsidR="00A86407" w:rsidRPr="00B62DC2">
        <w:t>roles and responsibilities</w:t>
      </w:r>
      <w:r w:rsidR="008C4453" w:rsidRPr="00B62DC2">
        <w:t xml:space="preserve"> and </w:t>
      </w:r>
      <w:r w:rsidR="00A86407" w:rsidRPr="00B62DC2">
        <w:t>staff resources (time and expertise)</w:t>
      </w:r>
      <w:r w:rsidR="002C13A2" w:rsidRPr="00B62DC2">
        <w:t xml:space="preserve"> </w:t>
      </w:r>
      <w:r w:rsidR="009714DA" w:rsidRPr="00B62DC2">
        <w:t xml:space="preserve">within </w:t>
      </w:r>
      <w:r w:rsidR="002C13A2" w:rsidRPr="00B62DC2">
        <w:t>the organisation</w:t>
      </w:r>
      <w:r w:rsidR="000E6597" w:rsidRPr="00B62DC2">
        <w:t xml:space="preserve">? </w:t>
      </w:r>
    </w:p>
    <w:p w14:paraId="08EF2DE1" w14:textId="6A32A737" w:rsidR="00DB521A" w:rsidRPr="00B62DC2" w:rsidRDefault="007A6F87" w:rsidP="002231C7">
      <w:pPr>
        <w:pStyle w:val="ListParagraph"/>
        <w:numPr>
          <w:ilvl w:val="1"/>
          <w:numId w:val="2"/>
        </w:numPr>
        <w:jc w:val="both"/>
      </w:pPr>
      <w:r w:rsidRPr="00B62DC2">
        <w:t xml:space="preserve">How does the current funding model </w:t>
      </w:r>
      <w:r w:rsidR="00347A58" w:rsidRPr="00B62DC2">
        <w:t xml:space="preserve">impact on the types </w:t>
      </w:r>
      <w:r w:rsidR="00DB521A" w:rsidRPr="00B62DC2">
        <w:t xml:space="preserve">and range </w:t>
      </w:r>
      <w:r w:rsidR="00347A58" w:rsidRPr="00B62DC2">
        <w:t xml:space="preserve">of </w:t>
      </w:r>
      <w:r w:rsidR="00DB521A" w:rsidRPr="00B62DC2">
        <w:t xml:space="preserve">posts the organisations can put in place and the types of employment contracts the organisation can offer employees? </w:t>
      </w:r>
    </w:p>
    <w:p w14:paraId="7EE7015F" w14:textId="2A1BD60B" w:rsidR="008C7C62" w:rsidRPr="00C3650A" w:rsidRDefault="00087FE9" w:rsidP="002231C7">
      <w:pPr>
        <w:pStyle w:val="ListParagraph"/>
        <w:numPr>
          <w:ilvl w:val="1"/>
          <w:numId w:val="2"/>
        </w:numPr>
        <w:jc w:val="both"/>
      </w:pPr>
      <w:r w:rsidRPr="00C3650A">
        <w:t xml:space="preserve">What needs to be considered in relation to the </w:t>
      </w:r>
      <w:r w:rsidR="00140435" w:rsidRPr="00C3650A">
        <w:t xml:space="preserve">current structure </w:t>
      </w:r>
      <w:r w:rsidRPr="00C3650A">
        <w:t xml:space="preserve">to </w:t>
      </w:r>
      <w:r w:rsidR="002F5013" w:rsidRPr="00C3650A">
        <w:t xml:space="preserve">allow </w:t>
      </w:r>
      <w:r w:rsidR="00140435" w:rsidRPr="00C3650A">
        <w:t xml:space="preserve">the </w:t>
      </w:r>
      <w:r w:rsidR="00EB2A2E" w:rsidRPr="00C3650A">
        <w:t xml:space="preserve">Company </w:t>
      </w:r>
      <w:r w:rsidR="00140435" w:rsidRPr="00C3650A">
        <w:t xml:space="preserve">to address future </w:t>
      </w:r>
      <w:r w:rsidRPr="00C3650A">
        <w:t xml:space="preserve">staffing </w:t>
      </w:r>
      <w:r w:rsidR="00140435" w:rsidRPr="00C3650A">
        <w:t>needs, particularly at management level</w:t>
      </w:r>
      <w:r w:rsidR="002F5013" w:rsidRPr="00C3650A">
        <w:t>,</w:t>
      </w:r>
      <w:r w:rsidRPr="00C3650A">
        <w:t xml:space="preserve"> and ensure continuity and sustainability of quality service delivery?</w:t>
      </w:r>
      <w:r w:rsidR="008C7C62" w:rsidRPr="00C3650A">
        <w:t xml:space="preserve"> </w:t>
      </w:r>
    </w:p>
    <w:p w14:paraId="5245E442" w14:textId="2B979A51" w:rsidR="00AD0C26" w:rsidRPr="00C3650A" w:rsidRDefault="00AD0C26" w:rsidP="003538C9">
      <w:pPr>
        <w:pStyle w:val="ListParagraph"/>
        <w:numPr>
          <w:ilvl w:val="0"/>
          <w:numId w:val="2"/>
        </w:numPr>
        <w:jc w:val="both"/>
      </w:pPr>
      <w:r w:rsidRPr="00C3650A">
        <w:t>PHYSICAL RESOURCES</w:t>
      </w:r>
      <w:r w:rsidR="00526462" w:rsidRPr="00C3650A">
        <w:t>/FACILITIES</w:t>
      </w:r>
      <w:r w:rsidRPr="00C3650A">
        <w:t>:</w:t>
      </w:r>
    </w:p>
    <w:p w14:paraId="2CD22862" w14:textId="083AD9AC" w:rsidR="00BB63B9" w:rsidRPr="00C3650A" w:rsidRDefault="00286FE7" w:rsidP="00AD0C26">
      <w:pPr>
        <w:pStyle w:val="ListParagraph"/>
        <w:numPr>
          <w:ilvl w:val="1"/>
          <w:numId w:val="2"/>
        </w:numPr>
        <w:jc w:val="both"/>
      </w:pPr>
      <w:r w:rsidRPr="00C3650A">
        <w:t xml:space="preserve">Is there an appropriate match between </w:t>
      </w:r>
      <w:r w:rsidR="00612B44" w:rsidRPr="00C3650A">
        <w:t xml:space="preserve">the physical </w:t>
      </w:r>
      <w:r w:rsidR="00AC4A9C" w:rsidRPr="00C3650A">
        <w:t xml:space="preserve">resources </w:t>
      </w:r>
      <w:r w:rsidR="0096790F" w:rsidRPr="00C3650A">
        <w:t xml:space="preserve">current </w:t>
      </w:r>
      <w:r w:rsidR="00AC4A9C" w:rsidRPr="00C3650A">
        <w:t xml:space="preserve">available to NTDC in terms of </w:t>
      </w:r>
      <w:r w:rsidR="007C71E3" w:rsidRPr="00C3650A">
        <w:t>premises</w:t>
      </w:r>
      <w:r w:rsidR="00AC4A9C" w:rsidRPr="00C3650A">
        <w:t xml:space="preserve"> and </w:t>
      </w:r>
      <w:r w:rsidR="007C71E3" w:rsidRPr="00C3650A">
        <w:t xml:space="preserve">facilities and the </w:t>
      </w:r>
      <w:r w:rsidR="00BB63B9" w:rsidRPr="00C3650A">
        <w:t xml:space="preserve">range </w:t>
      </w:r>
      <w:r w:rsidR="003A7592" w:rsidRPr="00C3650A">
        <w:t xml:space="preserve">and type </w:t>
      </w:r>
      <w:r w:rsidR="00BB63B9" w:rsidRPr="00C3650A">
        <w:t xml:space="preserve">of </w:t>
      </w:r>
      <w:r w:rsidR="00AC4A9C" w:rsidRPr="00C3650A">
        <w:t>community-based</w:t>
      </w:r>
      <w:r w:rsidR="00BB63B9" w:rsidRPr="00C3650A">
        <w:t xml:space="preserve"> programmes it is seeking to deliver?</w:t>
      </w:r>
    </w:p>
    <w:p w14:paraId="26CE8431" w14:textId="77777777" w:rsidR="00AE12B4" w:rsidRPr="00B62DC2" w:rsidRDefault="00252CE4" w:rsidP="00AD0C26">
      <w:pPr>
        <w:pStyle w:val="ListParagraph"/>
        <w:numPr>
          <w:ilvl w:val="1"/>
          <w:numId w:val="2"/>
        </w:numPr>
        <w:jc w:val="both"/>
      </w:pPr>
      <w:r w:rsidRPr="00B62DC2">
        <w:t xml:space="preserve">What needs to be considered </w:t>
      </w:r>
      <w:r w:rsidR="00800621" w:rsidRPr="00B62DC2">
        <w:t>regarding</w:t>
      </w:r>
      <w:r w:rsidR="00612B44" w:rsidRPr="00B62DC2">
        <w:t xml:space="preserve"> </w:t>
      </w:r>
      <w:r w:rsidR="009F655A" w:rsidRPr="00B62DC2">
        <w:t xml:space="preserve">premises and facilities to enable NTDC to </w:t>
      </w:r>
      <w:r w:rsidR="006C13D0" w:rsidRPr="00B62DC2">
        <w:t xml:space="preserve">address current and future needs </w:t>
      </w:r>
      <w:r w:rsidR="00FF37FF" w:rsidRPr="00B62DC2">
        <w:t>across North Tipperary?</w:t>
      </w:r>
    </w:p>
    <w:p w14:paraId="7228CDE1" w14:textId="4247D4F7" w:rsidR="00FF37FF" w:rsidRPr="00B62DC2" w:rsidRDefault="0023476F" w:rsidP="003A7592">
      <w:pPr>
        <w:pStyle w:val="ListParagraph"/>
        <w:numPr>
          <w:ilvl w:val="1"/>
          <w:numId w:val="2"/>
        </w:numPr>
        <w:jc w:val="both"/>
      </w:pPr>
      <w:r w:rsidRPr="00B62DC2">
        <w:t xml:space="preserve">Does the current </w:t>
      </w:r>
      <w:r w:rsidR="00811537" w:rsidRPr="00B62DC2">
        <w:t xml:space="preserve">balance between renting and </w:t>
      </w:r>
      <w:r w:rsidR="00242BE3" w:rsidRPr="00B62DC2">
        <w:t xml:space="preserve">purchasing properties </w:t>
      </w:r>
      <w:r w:rsidR="00EA0ADF" w:rsidRPr="00B62DC2">
        <w:t xml:space="preserve">represent value for money and </w:t>
      </w:r>
      <w:r w:rsidR="001206F4" w:rsidRPr="00B62DC2">
        <w:t xml:space="preserve">an </w:t>
      </w:r>
      <w:r w:rsidR="00EA0ADF" w:rsidRPr="00B62DC2">
        <w:t xml:space="preserve">effective </w:t>
      </w:r>
      <w:r w:rsidR="00F005BD" w:rsidRPr="00B62DC2">
        <w:t>long-term</w:t>
      </w:r>
      <w:r w:rsidR="00EA0ADF" w:rsidRPr="00B62DC2">
        <w:t xml:space="preserve"> </w:t>
      </w:r>
      <w:r w:rsidR="00F005BD" w:rsidRPr="00B62DC2">
        <w:t>strategy</w:t>
      </w:r>
      <w:r w:rsidR="006D03D5" w:rsidRPr="00B62DC2">
        <w:t xml:space="preserve"> to the development of facilities?</w:t>
      </w:r>
    </w:p>
    <w:p w14:paraId="556A9657" w14:textId="77777777" w:rsidR="00AD0C26" w:rsidRPr="00C3650A" w:rsidRDefault="00AD0C26" w:rsidP="003538C9">
      <w:pPr>
        <w:pStyle w:val="ListParagraph"/>
        <w:numPr>
          <w:ilvl w:val="0"/>
          <w:numId w:val="2"/>
        </w:numPr>
        <w:jc w:val="both"/>
      </w:pPr>
      <w:r w:rsidRPr="00C3650A">
        <w:t>BOARD RESOURCES AND EXPERTISE:</w:t>
      </w:r>
    </w:p>
    <w:p w14:paraId="0C0E39B5" w14:textId="578D4BA5" w:rsidR="0096790F" w:rsidRPr="00C3650A" w:rsidRDefault="00F75D4D" w:rsidP="00345FB5">
      <w:pPr>
        <w:pStyle w:val="ListParagraph"/>
        <w:numPr>
          <w:ilvl w:val="1"/>
          <w:numId w:val="2"/>
        </w:numPr>
        <w:spacing w:after="0"/>
        <w:jc w:val="both"/>
      </w:pPr>
      <w:r w:rsidRPr="00C3650A">
        <w:t xml:space="preserve">Is there an appropriate match between the mission of NTDC and the current composition of the Board? </w:t>
      </w:r>
    </w:p>
    <w:p w14:paraId="16482761" w14:textId="77777777" w:rsidR="005A01D1" w:rsidRPr="00C3650A" w:rsidRDefault="00F17C36" w:rsidP="00345FB5">
      <w:pPr>
        <w:pStyle w:val="ListParagraph"/>
        <w:numPr>
          <w:ilvl w:val="1"/>
          <w:numId w:val="2"/>
        </w:numPr>
        <w:spacing w:after="0"/>
        <w:jc w:val="both"/>
      </w:pPr>
      <w:r w:rsidRPr="00C3650A">
        <w:t xml:space="preserve">Does the current composition of the Board provide the range of </w:t>
      </w:r>
      <w:r w:rsidR="00A308AF" w:rsidRPr="00C3650A">
        <w:t xml:space="preserve">knowledge, skills, </w:t>
      </w:r>
      <w:r w:rsidRPr="00C3650A">
        <w:t>expertise</w:t>
      </w:r>
      <w:r w:rsidR="00A308AF" w:rsidRPr="00C3650A">
        <w:t xml:space="preserve"> and representation </w:t>
      </w:r>
      <w:r w:rsidR="002C5075" w:rsidRPr="00C3650A">
        <w:t>required to enable the Board to fulfil its fiduciary responsibilities</w:t>
      </w:r>
      <w:r w:rsidR="005A01D1" w:rsidRPr="00C3650A">
        <w:t>?</w:t>
      </w:r>
    </w:p>
    <w:p w14:paraId="66051AB4" w14:textId="77777777" w:rsidR="00A36AD3" w:rsidRPr="00C3650A" w:rsidRDefault="00BC6E6D" w:rsidP="00345FB5">
      <w:pPr>
        <w:pStyle w:val="ListParagraph"/>
        <w:numPr>
          <w:ilvl w:val="1"/>
          <w:numId w:val="2"/>
        </w:numPr>
        <w:spacing w:after="0"/>
        <w:jc w:val="both"/>
      </w:pPr>
      <w:r w:rsidRPr="00C3650A">
        <w:t xml:space="preserve">How do the sub-structures of the Board assist the Board and the organisation </w:t>
      </w:r>
      <w:r w:rsidR="00D820A3" w:rsidRPr="00C3650A">
        <w:t xml:space="preserve">in achieving its </w:t>
      </w:r>
      <w:r w:rsidR="00F86AEB" w:rsidRPr="00C3650A">
        <w:t>Vision, Mission and Goals and fulfilling the organisation’s fiduciary responsibilities</w:t>
      </w:r>
      <w:r w:rsidR="00A36AD3" w:rsidRPr="00C3650A">
        <w:t>?</w:t>
      </w:r>
    </w:p>
    <w:p w14:paraId="18307B94" w14:textId="37A94714" w:rsidR="00857C14" w:rsidRPr="00C3650A" w:rsidRDefault="002F0F7D" w:rsidP="00345FB5">
      <w:pPr>
        <w:pStyle w:val="ListParagraph"/>
        <w:numPr>
          <w:ilvl w:val="1"/>
          <w:numId w:val="2"/>
        </w:numPr>
        <w:spacing w:after="0"/>
        <w:jc w:val="both"/>
      </w:pPr>
      <w:r w:rsidRPr="00C3650A">
        <w:t xml:space="preserve">Do the current sub-structures </w:t>
      </w:r>
      <w:r w:rsidR="00857C14" w:rsidRPr="00C3650A">
        <w:t xml:space="preserve">represent </w:t>
      </w:r>
      <w:r w:rsidR="00F177D0" w:rsidRPr="00C3650A">
        <w:t xml:space="preserve">the best use </w:t>
      </w:r>
      <w:r w:rsidR="00857C14" w:rsidRPr="00C3650A">
        <w:t>of resources</w:t>
      </w:r>
      <w:r w:rsidR="00BF0B6E" w:rsidRPr="00C3650A">
        <w:t xml:space="preserve"> </w:t>
      </w:r>
      <w:r w:rsidR="00800621" w:rsidRPr="00C3650A">
        <w:t>regarding</w:t>
      </w:r>
      <w:r w:rsidR="00F177D0" w:rsidRPr="00C3650A">
        <w:t>:</w:t>
      </w:r>
      <w:r w:rsidR="00857C14" w:rsidRPr="00C3650A">
        <w:t xml:space="preserve"> </w:t>
      </w:r>
    </w:p>
    <w:p w14:paraId="7A18C33D" w14:textId="1CFBA74E" w:rsidR="00F01011" w:rsidRPr="00C3650A" w:rsidRDefault="00BF0B6E" w:rsidP="00857C14">
      <w:pPr>
        <w:pStyle w:val="ListParagraph"/>
        <w:numPr>
          <w:ilvl w:val="2"/>
          <w:numId w:val="2"/>
        </w:numPr>
        <w:spacing w:after="0"/>
        <w:jc w:val="both"/>
      </w:pPr>
      <w:r w:rsidRPr="00C3650A">
        <w:t xml:space="preserve">The </w:t>
      </w:r>
      <w:r w:rsidR="00F01011" w:rsidRPr="00C3650A">
        <w:t xml:space="preserve">time commitment </w:t>
      </w:r>
      <w:r w:rsidRPr="00C3650A">
        <w:t xml:space="preserve">required </w:t>
      </w:r>
      <w:r w:rsidR="00800621" w:rsidRPr="00C3650A">
        <w:t xml:space="preserve">by </w:t>
      </w:r>
      <w:r w:rsidR="00F01011" w:rsidRPr="00C3650A">
        <w:t>Board members</w:t>
      </w:r>
    </w:p>
    <w:p w14:paraId="43F0810B" w14:textId="247CC13D" w:rsidR="00F177D0" w:rsidRPr="00C3650A" w:rsidRDefault="00800621" w:rsidP="00857C14">
      <w:pPr>
        <w:pStyle w:val="ListParagraph"/>
        <w:numPr>
          <w:ilvl w:val="2"/>
          <w:numId w:val="2"/>
        </w:numPr>
        <w:spacing w:after="0"/>
        <w:jc w:val="both"/>
      </w:pPr>
      <w:r w:rsidRPr="00C3650A">
        <w:t xml:space="preserve">The </w:t>
      </w:r>
      <w:r w:rsidR="00F01011" w:rsidRPr="00C3650A">
        <w:t>staff resources required to servic</w:t>
      </w:r>
      <w:r w:rsidR="00F177D0" w:rsidRPr="00C3650A">
        <w:t>e the sub-structures</w:t>
      </w:r>
    </w:p>
    <w:p w14:paraId="2D2A3C33" w14:textId="48A878BE" w:rsidR="008B6F92" w:rsidRPr="00C3650A" w:rsidRDefault="00981066" w:rsidP="00345FB5">
      <w:pPr>
        <w:pStyle w:val="ListParagraph"/>
        <w:numPr>
          <w:ilvl w:val="1"/>
          <w:numId w:val="2"/>
        </w:numPr>
        <w:spacing w:after="0"/>
        <w:jc w:val="both"/>
      </w:pPr>
      <w:r w:rsidRPr="00C3650A">
        <w:t xml:space="preserve">What is working and not working </w:t>
      </w:r>
      <w:r w:rsidR="0096790F" w:rsidRPr="00C3650A">
        <w:t xml:space="preserve">in relation to the </w:t>
      </w:r>
      <w:r w:rsidR="00BB7D9F" w:rsidRPr="00C3650A">
        <w:t xml:space="preserve">current composition of the </w:t>
      </w:r>
      <w:r w:rsidR="0096790F" w:rsidRPr="00C3650A">
        <w:t>Board</w:t>
      </w:r>
      <w:r w:rsidR="00845341" w:rsidRPr="00C3650A">
        <w:t xml:space="preserve"> and sub-structures</w:t>
      </w:r>
      <w:r w:rsidR="008B6F92" w:rsidRPr="00C3650A">
        <w:t>?</w:t>
      </w:r>
    </w:p>
    <w:p w14:paraId="2E4A3869" w14:textId="66539C5A" w:rsidR="00E7291F" w:rsidRPr="00C3650A" w:rsidRDefault="003538C9" w:rsidP="00345FB5">
      <w:pPr>
        <w:pStyle w:val="ListParagraph"/>
        <w:spacing w:after="0"/>
        <w:jc w:val="both"/>
      </w:pPr>
      <w:r w:rsidRPr="00C3650A">
        <w:t xml:space="preserve"> </w:t>
      </w:r>
    </w:p>
    <w:p w14:paraId="6BA1E3C7" w14:textId="65C419AD" w:rsidR="00E92F62" w:rsidRDefault="00E92F62" w:rsidP="00D90062">
      <w:pPr>
        <w:spacing w:after="0"/>
        <w:jc w:val="both"/>
      </w:pPr>
      <w:r w:rsidRPr="00C3650A">
        <w:t>In answering these questions, the review will also recommend any changes</w:t>
      </w:r>
      <w:r w:rsidR="00112815" w:rsidRPr="00C3650A">
        <w:t xml:space="preserve"> required</w:t>
      </w:r>
      <w:r w:rsidRPr="00C3650A">
        <w:t xml:space="preserve"> to the present organisational structure </w:t>
      </w:r>
      <w:r w:rsidR="005A01D1" w:rsidRPr="00C3650A">
        <w:t xml:space="preserve">and resources </w:t>
      </w:r>
      <w:r w:rsidR="00E829B3" w:rsidRPr="00C3650A">
        <w:t xml:space="preserve">to </w:t>
      </w:r>
      <w:r w:rsidRPr="00C3650A">
        <w:t xml:space="preserve">able </w:t>
      </w:r>
      <w:r w:rsidR="00E829B3" w:rsidRPr="00C3650A">
        <w:t xml:space="preserve">NTDC </w:t>
      </w:r>
      <w:r w:rsidRPr="00C3650A">
        <w:t xml:space="preserve">to better achieve its </w:t>
      </w:r>
      <w:r w:rsidR="00526462" w:rsidRPr="00C3650A">
        <w:t xml:space="preserve">vision, mission and goals. </w:t>
      </w:r>
    </w:p>
    <w:p w14:paraId="471A9EA8" w14:textId="77777777" w:rsidR="00D90062" w:rsidRPr="00C3650A" w:rsidRDefault="00D90062" w:rsidP="00D90062">
      <w:pPr>
        <w:spacing w:after="0"/>
        <w:jc w:val="both"/>
      </w:pPr>
    </w:p>
    <w:p w14:paraId="3CAC4680" w14:textId="77777777" w:rsidR="003E77E1" w:rsidRPr="00C3650A" w:rsidRDefault="003E77E1" w:rsidP="0013336B">
      <w:pPr>
        <w:pStyle w:val="Heading1"/>
        <w:spacing w:before="0" w:after="240"/>
        <w:ind w:left="720" w:hanging="720"/>
        <w:jc w:val="both"/>
        <w:rPr>
          <w:color w:val="auto"/>
        </w:rPr>
      </w:pPr>
      <w:r w:rsidRPr="00C3650A">
        <w:rPr>
          <w:color w:val="auto"/>
        </w:rPr>
        <w:t>Objectives</w:t>
      </w:r>
    </w:p>
    <w:p w14:paraId="3819640F" w14:textId="77777777" w:rsidR="003E77E1" w:rsidRPr="00C3650A" w:rsidRDefault="009050AA" w:rsidP="0013336B">
      <w:pPr>
        <w:spacing w:after="0"/>
        <w:jc w:val="both"/>
      </w:pPr>
      <w:r w:rsidRPr="00C3650A">
        <w:t>The objectives of the review are to:</w:t>
      </w:r>
    </w:p>
    <w:p w14:paraId="412058D5" w14:textId="523D7022" w:rsidR="009050AA" w:rsidRPr="00C3650A" w:rsidRDefault="008C7C62" w:rsidP="0013336B">
      <w:pPr>
        <w:pStyle w:val="ListParagraph"/>
        <w:numPr>
          <w:ilvl w:val="0"/>
          <w:numId w:val="3"/>
        </w:numPr>
        <w:spacing w:after="0"/>
        <w:jc w:val="both"/>
      </w:pPr>
      <w:r w:rsidRPr="00C3650A">
        <w:t>Review</w:t>
      </w:r>
      <w:r w:rsidR="009050AA" w:rsidRPr="00C3650A">
        <w:t xml:space="preserve"> the scope of </w:t>
      </w:r>
      <w:r w:rsidR="00D100C4" w:rsidRPr="00C3650A">
        <w:t xml:space="preserve">current roles </w:t>
      </w:r>
      <w:r w:rsidR="009050AA" w:rsidRPr="00C3650A">
        <w:t xml:space="preserve">and responsibilities for each </w:t>
      </w:r>
      <w:r w:rsidR="00AD0C26" w:rsidRPr="00C3650A">
        <w:t>programme</w:t>
      </w:r>
      <w:r w:rsidRPr="00C3650A">
        <w:t xml:space="preserve"> areas/departments within </w:t>
      </w:r>
      <w:r w:rsidR="00AD0C26" w:rsidRPr="00C3650A">
        <w:t>NTDC</w:t>
      </w:r>
      <w:r w:rsidR="00E530A6" w:rsidRPr="00C3650A">
        <w:t xml:space="preserve"> and </w:t>
      </w:r>
      <w:r w:rsidR="009050AA" w:rsidRPr="00C3650A">
        <w:t xml:space="preserve">the level of staff and management capacity dedicated to each </w:t>
      </w:r>
      <w:r w:rsidR="00E530A6" w:rsidRPr="00C3650A">
        <w:t>area</w:t>
      </w:r>
      <w:r w:rsidR="00D100C4" w:rsidRPr="00C3650A">
        <w:t xml:space="preserve">. </w:t>
      </w:r>
    </w:p>
    <w:p w14:paraId="10FCC4DD" w14:textId="77777777" w:rsidR="00D100C4" w:rsidRPr="00C3650A" w:rsidRDefault="009050AA" w:rsidP="00F25074">
      <w:pPr>
        <w:pStyle w:val="ListParagraph"/>
        <w:numPr>
          <w:ilvl w:val="0"/>
          <w:numId w:val="3"/>
        </w:numPr>
        <w:jc w:val="both"/>
      </w:pPr>
      <w:r w:rsidRPr="00C3650A">
        <w:t xml:space="preserve">Establish whether the </w:t>
      </w:r>
      <w:r w:rsidR="00D100C4" w:rsidRPr="00C3650A">
        <w:t xml:space="preserve">roles </w:t>
      </w:r>
      <w:r w:rsidRPr="00C3650A">
        <w:t xml:space="preserve">and responsibilities of </w:t>
      </w:r>
      <w:r w:rsidR="00E530A6" w:rsidRPr="00C3650A">
        <w:t>core</w:t>
      </w:r>
      <w:r w:rsidRPr="00C3650A">
        <w:t xml:space="preserve"> staff are appropriate and achievable, and commensurate with the </w:t>
      </w:r>
      <w:r w:rsidR="00D100C4" w:rsidRPr="00C3650A">
        <w:t xml:space="preserve">resources available in terms of staff time and expertise. </w:t>
      </w:r>
    </w:p>
    <w:p w14:paraId="4C1911D3" w14:textId="77777777" w:rsidR="00D100C4" w:rsidRPr="00C3650A" w:rsidRDefault="00D100C4" w:rsidP="00F25074">
      <w:pPr>
        <w:pStyle w:val="ListParagraph"/>
        <w:numPr>
          <w:ilvl w:val="0"/>
          <w:numId w:val="3"/>
        </w:numPr>
        <w:jc w:val="both"/>
      </w:pPr>
      <w:r w:rsidRPr="00C3650A">
        <w:t xml:space="preserve">Establish </w:t>
      </w:r>
      <w:r w:rsidR="009050AA" w:rsidRPr="00C3650A">
        <w:t xml:space="preserve">whether the </w:t>
      </w:r>
      <w:r w:rsidRPr="00C3650A">
        <w:t xml:space="preserve">current </w:t>
      </w:r>
      <w:r w:rsidR="009050AA" w:rsidRPr="00C3650A">
        <w:t>organisational structure ensures opportunities for staff and management to respond to fut</w:t>
      </w:r>
      <w:r w:rsidR="00E8426F" w:rsidRPr="00C3650A">
        <w:t xml:space="preserve">ure organisational requirements, in particular </w:t>
      </w:r>
      <w:proofErr w:type="gramStart"/>
      <w:r w:rsidR="00E8426F" w:rsidRPr="00C3650A">
        <w:t>with regard to</w:t>
      </w:r>
      <w:proofErr w:type="gramEnd"/>
      <w:r w:rsidR="00E8426F" w:rsidRPr="00C3650A">
        <w:t xml:space="preserve"> succession planning</w:t>
      </w:r>
      <w:r w:rsidRPr="00C3650A">
        <w:t xml:space="preserve">. </w:t>
      </w:r>
    </w:p>
    <w:p w14:paraId="490A7A98" w14:textId="0A7C2539" w:rsidR="00345FB5" w:rsidRPr="00B62DC2" w:rsidRDefault="00213DA8" w:rsidP="00F25074">
      <w:pPr>
        <w:pStyle w:val="ListParagraph"/>
        <w:numPr>
          <w:ilvl w:val="0"/>
          <w:numId w:val="3"/>
        </w:numPr>
        <w:jc w:val="both"/>
      </w:pPr>
      <w:r w:rsidRPr="00C3650A">
        <w:t xml:space="preserve">Establish </w:t>
      </w:r>
      <w:r w:rsidR="0080338F" w:rsidRPr="00C3650A">
        <w:t xml:space="preserve">to what extent the current premises and facilities available </w:t>
      </w:r>
      <w:r w:rsidR="0016654D" w:rsidRPr="00C3650A">
        <w:t xml:space="preserve">to NTDC </w:t>
      </w:r>
      <w:r w:rsidR="00A63D18" w:rsidRPr="00C3650A">
        <w:t xml:space="preserve">facilitate the Company to </w:t>
      </w:r>
      <w:r w:rsidR="00A63D18" w:rsidRPr="00B62DC2">
        <w:t>effectively deliver the programmes within its remit</w:t>
      </w:r>
      <w:r w:rsidR="00701777" w:rsidRPr="00B62DC2">
        <w:t xml:space="preserve"> and identify </w:t>
      </w:r>
      <w:r w:rsidR="001658DD" w:rsidRPr="00B62DC2">
        <w:t>gaps that need to be addressed</w:t>
      </w:r>
      <w:r w:rsidR="00A63D18" w:rsidRPr="00B62DC2">
        <w:t>.</w:t>
      </w:r>
    </w:p>
    <w:p w14:paraId="353FDB75" w14:textId="4B51372B" w:rsidR="0098503B" w:rsidRPr="00B62DC2" w:rsidRDefault="00073EE4" w:rsidP="00F25074">
      <w:pPr>
        <w:pStyle w:val="ListParagraph"/>
        <w:numPr>
          <w:ilvl w:val="0"/>
          <w:numId w:val="3"/>
        </w:numPr>
        <w:jc w:val="both"/>
      </w:pPr>
      <w:r w:rsidRPr="00B62DC2">
        <w:t xml:space="preserve">Establish </w:t>
      </w:r>
      <w:r w:rsidR="00ED020D" w:rsidRPr="00B62DC2">
        <w:t xml:space="preserve">to what extent </w:t>
      </w:r>
      <w:r w:rsidRPr="00B62DC2">
        <w:t xml:space="preserve">the current model of funding </w:t>
      </w:r>
      <w:r w:rsidR="00ED020D" w:rsidRPr="00B62DC2">
        <w:t xml:space="preserve">facilitates the organisation to effectively deliver on its </w:t>
      </w:r>
      <w:r w:rsidR="00914925" w:rsidRPr="00B62DC2">
        <w:t>vision, mission and goals</w:t>
      </w:r>
      <w:r w:rsidR="0098503B" w:rsidRPr="00B62DC2">
        <w:t>?</w:t>
      </w:r>
      <w:r w:rsidR="00ED020D" w:rsidRPr="00B62DC2">
        <w:t xml:space="preserve"> </w:t>
      </w:r>
    </w:p>
    <w:p w14:paraId="0F276237" w14:textId="3CA5872F" w:rsidR="00400386" w:rsidRPr="00C3650A" w:rsidRDefault="00414259" w:rsidP="00F25074">
      <w:pPr>
        <w:pStyle w:val="ListParagraph"/>
        <w:numPr>
          <w:ilvl w:val="0"/>
          <w:numId w:val="3"/>
        </w:numPr>
        <w:jc w:val="both"/>
      </w:pPr>
      <w:r w:rsidRPr="00C3650A">
        <w:t xml:space="preserve">Review the current composition of the </w:t>
      </w:r>
      <w:r w:rsidR="00D929A8" w:rsidRPr="00C3650A">
        <w:t xml:space="preserve">Board of NTDC and identify any areas that need to be addressed to </w:t>
      </w:r>
      <w:r w:rsidR="00323F82" w:rsidRPr="00C3650A">
        <w:t xml:space="preserve">maximise the capacity of the Board to </w:t>
      </w:r>
      <w:r w:rsidR="00797CE2" w:rsidRPr="00C3650A">
        <w:t>fulfil its responsibilities and facilitate NTDC to deliver on its mission.</w:t>
      </w:r>
    </w:p>
    <w:p w14:paraId="57E79506" w14:textId="77777777" w:rsidR="00B143B2" w:rsidRPr="00C3650A" w:rsidRDefault="00140435" w:rsidP="00B143B2">
      <w:pPr>
        <w:pStyle w:val="ListParagraph"/>
        <w:numPr>
          <w:ilvl w:val="0"/>
          <w:numId w:val="3"/>
        </w:numPr>
        <w:jc w:val="both"/>
      </w:pPr>
      <w:r w:rsidRPr="00C3650A">
        <w:t xml:space="preserve">Based on the review </w:t>
      </w:r>
      <w:r w:rsidR="00400386" w:rsidRPr="00C3650A">
        <w:t xml:space="preserve">of the above </w:t>
      </w:r>
      <w:r w:rsidRPr="00C3650A">
        <w:t xml:space="preserve">and </w:t>
      </w:r>
      <w:r w:rsidR="00800621" w:rsidRPr="00C3650A">
        <w:t>considering</w:t>
      </w:r>
      <w:r w:rsidRPr="00C3650A">
        <w:t xml:space="preserve"> recommended best practice in the sector</w:t>
      </w:r>
      <w:r w:rsidR="00B143B2" w:rsidRPr="00C3650A">
        <w:t>:</w:t>
      </w:r>
    </w:p>
    <w:p w14:paraId="78CDA6B0" w14:textId="47D0B2CF" w:rsidR="00D100C4" w:rsidRPr="00C3650A" w:rsidRDefault="00B143B2" w:rsidP="00B143B2">
      <w:pPr>
        <w:pStyle w:val="ListParagraph"/>
        <w:numPr>
          <w:ilvl w:val="1"/>
          <w:numId w:val="3"/>
        </w:numPr>
        <w:jc w:val="both"/>
      </w:pPr>
      <w:r w:rsidRPr="00C3650A">
        <w:lastRenderedPageBreak/>
        <w:t>M</w:t>
      </w:r>
      <w:r w:rsidR="00140435" w:rsidRPr="00C3650A">
        <w:t xml:space="preserve">ake recommendations for the development of the organisational structure </w:t>
      </w:r>
      <w:r w:rsidR="00526462" w:rsidRPr="00C3650A">
        <w:t xml:space="preserve">and resources </w:t>
      </w:r>
      <w:r w:rsidR="00140435" w:rsidRPr="00C3650A">
        <w:t xml:space="preserve">over the next 5 – 10 years to maximise the capacity of the organisation to delivery on its </w:t>
      </w:r>
      <w:r w:rsidR="00526462" w:rsidRPr="00C3650A">
        <w:t xml:space="preserve">vision, </w:t>
      </w:r>
      <w:r w:rsidR="005927F1" w:rsidRPr="00C3650A">
        <w:t>mission</w:t>
      </w:r>
      <w:r w:rsidR="00526462" w:rsidRPr="00C3650A">
        <w:t xml:space="preserve"> and </w:t>
      </w:r>
      <w:r w:rsidR="005927F1" w:rsidRPr="00C3650A">
        <w:t xml:space="preserve">goals. </w:t>
      </w:r>
      <w:r w:rsidR="00140435" w:rsidRPr="00C3650A">
        <w:t xml:space="preserve"> </w:t>
      </w:r>
    </w:p>
    <w:p w14:paraId="412498E4" w14:textId="048B6B58" w:rsidR="00B143B2" w:rsidRPr="00B62DC2" w:rsidRDefault="001208D3" w:rsidP="0098503B">
      <w:pPr>
        <w:pStyle w:val="ListParagraph"/>
        <w:numPr>
          <w:ilvl w:val="1"/>
          <w:numId w:val="3"/>
        </w:numPr>
        <w:spacing w:after="0"/>
        <w:jc w:val="both"/>
      </w:pPr>
      <w:r w:rsidRPr="00C3650A">
        <w:t>I</w:t>
      </w:r>
      <w:r w:rsidRPr="00B62DC2">
        <w:t xml:space="preserve">n making </w:t>
      </w:r>
      <w:r w:rsidR="00D1173E" w:rsidRPr="00B62DC2">
        <w:t>these recommendations, b</w:t>
      </w:r>
      <w:r w:rsidR="00B143B2" w:rsidRPr="00B62DC2">
        <w:t xml:space="preserve">e </w:t>
      </w:r>
      <w:r w:rsidRPr="00B62DC2">
        <w:t>cognisant of the current and potential financial resources available to NTDC</w:t>
      </w:r>
      <w:r w:rsidR="00EB735A" w:rsidRPr="00B62DC2">
        <w:t xml:space="preserve"> and </w:t>
      </w:r>
      <w:r w:rsidR="00C97397" w:rsidRPr="00B62DC2">
        <w:t xml:space="preserve">the </w:t>
      </w:r>
      <w:r w:rsidR="005C18D1" w:rsidRPr="00B62DC2">
        <w:t xml:space="preserve">financial </w:t>
      </w:r>
      <w:r w:rsidR="0040261A" w:rsidRPr="00B62DC2">
        <w:t xml:space="preserve">parameters set </w:t>
      </w:r>
      <w:r w:rsidR="005C18D1" w:rsidRPr="00B62DC2">
        <w:t xml:space="preserve">down by </w:t>
      </w:r>
      <w:r w:rsidR="00C97397" w:rsidRPr="00B62DC2">
        <w:t xml:space="preserve">programme </w:t>
      </w:r>
      <w:r w:rsidR="005C18D1" w:rsidRPr="00B62DC2">
        <w:t>funders</w:t>
      </w:r>
      <w:r w:rsidR="00D1173E" w:rsidRPr="00B62DC2">
        <w:t>.</w:t>
      </w:r>
      <w:r w:rsidRPr="00B62DC2">
        <w:t xml:space="preserve"> </w:t>
      </w:r>
    </w:p>
    <w:p w14:paraId="52B41479" w14:textId="77777777" w:rsidR="0098503B" w:rsidRPr="00B62DC2" w:rsidRDefault="0098503B" w:rsidP="0098503B">
      <w:pPr>
        <w:pStyle w:val="ListParagraph"/>
        <w:spacing w:after="0"/>
        <w:ind w:left="1440"/>
        <w:jc w:val="both"/>
      </w:pPr>
    </w:p>
    <w:p w14:paraId="0480A261" w14:textId="77777777" w:rsidR="003E77E1" w:rsidRPr="00B62DC2" w:rsidRDefault="003E77E1" w:rsidP="001C3100">
      <w:pPr>
        <w:pStyle w:val="Heading1"/>
        <w:spacing w:before="0" w:after="240"/>
        <w:ind w:left="720" w:hanging="720"/>
        <w:jc w:val="both"/>
        <w:rPr>
          <w:color w:val="auto"/>
        </w:rPr>
      </w:pPr>
      <w:r w:rsidRPr="00B62DC2">
        <w:rPr>
          <w:color w:val="auto"/>
        </w:rPr>
        <w:t>Outputs</w:t>
      </w:r>
    </w:p>
    <w:p w14:paraId="55E22134" w14:textId="58637AAC" w:rsidR="002310D4" w:rsidRPr="00B62DC2" w:rsidRDefault="00E8426F" w:rsidP="0013336B">
      <w:pPr>
        <w:spacing w:after="0"/>
        <w:jc w:val="both"/>
      </w:pPr>
      <w:r w:rsidRPr="00B62DC2">
        <w:t>The consultant</w:t>
      </w:r>
      <w:r w:rsidR="007D2D28" w:rsidRPr="00B62DC2">
        <w:t>/s</w:t>
      </w:r>
      <w:r w:rsidRPr="00B62DC2">
        <w:t xml:space="preserve"> will prepare a </w:t>
      </w:r>
      <w:r w:rsidR="007D2D28" w:rsidRPr="00B62DC2">
        <w:t xml:space="preserve">written </w:t>
      </w:r>
      <w:r w:rsidRPr="00B62DC2">
        <w:t xml:space="preserve">report of the review undertaken, in which </w:t>
      </w:r>
      <w:r w:rsidR="007D2D28" w:rsidRPr="00B62DC2">
        <w:t>they</w:t>
      </w:r>
      <w:r w:rsidRPr="00B62DC2">
        <w:t xml:space="preserve"> will have addressed the purpose of the </w:t>
      </w:r>
      <w:r w:rsidR="00991960" w:rsidRPr="00B62DC2">
        <w:t>review and</w:t>
      </w:r>
      <w:r w:rsidRPr="00B62DC2">
        <w:t xml:space="preserve"> will have responded to each of the objectives as outlined above. </w:t>
      </w:r>
      <w:r w:rsidR="007D2D28" w:rsidRPr="00B62DC2">
        <w:t>The Report will be focused and</w:t>
      </w:r>
      <w:r w:rsidR="002310D4" w:rsidRPr="00B62DC2">
        <w:t xml:space="preserve"> concise, providing details as follows:</w:t>
      </w:r>
    </w:p>
    <w:p w14:paraId="5F20AA0C" w14:textId="7BF0DCCD" w:rsidR="002310D4" w:rsidRPr="00B62DC2" w:rsidRDefault="002310D4" w:rsidP="0013336B">
      <w:pPr>
        <w:pStyle w:val="ListParagraph"/>
        <w:numPr>
          <w:ilvl w:val="0"/>
          <w:numId w:val="6"/>
        </w:numPr>
        <w:spacing w:after="0"/>
        <w:jc w:val="both"/>
      </w:pPr>
      <w:r w:rsidRPr="00B62DC2">
        <w:t xml:space="preserve">The methodology used in carrying out the </w:t>
      </w:r>
      <w:r w:rsidR="00D23C8B" w:rsidRPr="00B62DC2">
        <w:t>review.</w:t>
      </w:r>
      <w:r w:rsidRPr="00B62DC2">
        <w:t xml:space="preserve"> </w:t>
      </w:r>
    </w:p>
    <w:p w14:paraId="541ECD51" w14:textId="77777777" w:rsidR="005C18D1" w:rsidRPr="00B62DC2" w:rsidRDefault="002310D4" w:rsidP="005C18D1">
      <w:pPr>
        <w:pStyle w:val="ListParagraph"/>
        <w:numPr>
          <w:ilvl w:val="0"/>
          <w:numId w:val="6"/>
        </w:numPr>
        <w:jc w:val="both"/>
      </w:pPr>
      <w:r w:rsidRPr="00B62DC2">
        <w:t>The key findings from the process</w:t>
      </w:r>
      <w:r w:rsidR="00D23C8B" w:rsidRPr="00B62DC2">
        <w:t>.</w:t>
      </w:r>
    </w:p>
    <w:p w14:paraId="3FE78190" w14:textId="55E189F5" w:rsidR="003E77E1" w:rsidRPr="00B62DC2" w:rsidRDefault="00FE71EA" w:rsidP="0098503B">
      <w:pPr>
        <w:pStyle w:val="ListParagraph"/>
        <w:numPr>
          <w:ilvl w:val="0"/>
          <w:numId w:val="6"/>
        </w:numPr>
        <w:spacing w:after="0"/>
        <w:jc w:val="both"/>
      </w:pPr>
      <w:r w:rsidRPr="00B62DC2">
        <w:t>Make c</w:t>
      </w:r>
      <w:r w:rsidR="002310D4" w:rsidRPr="00B62DC2">
        <w:t>lear recommendations for the organisation</w:t>
      </w:r>
      <w:r w:rsidR="00800621" w:rsidRPr="00B62DC2">
        <w:t xml:space="preserve">, being </w:t>
      </w:r>
      <w:r w:rsidR="00254757" w:rsidRPr="00B62DC2">
        <w:t>cognisant</w:t>
      </w:r>
      <w:r w:rsidR="00800621" w:rsidRPr="00B62DC2">
        <w:t xml:space="preserve"> of the current and potential financial resources available to </w:t>
      </w:r>
      <w:r w:rsidR="00254757" w:rsidRPr="00B62DC2">
        <w:t>NTDC</w:t>
      </w:r>
      <w:r w:rsidR="005C18D1" w:rsidRPr="00B62DC2">
        <w:t xml:space="preserve"> and the financial parameters set down by programme funders. </w:t>
      </w:r>
    </w:p>
    <w:p w14:paraId="24218F44" w14:textId="77777777" w:rsidR="0098503B" w:rsidRPr="00C3650A" w:rsidRDefault="0098503B" w:rsidP="0098503B">
      <w:pPr>
        <w:pStyle w:val="ListParagraph"/>
        <w:spacing w:after="0"/>
        <w:ind w:left="810"/>
        <w:jc w:val="both"/>
      </w:pPr>
    </w:p>
    <w:p w14:paraId="2F6242C3" w14:textId="77777777" w:rsidR="003E77E1" w:rsidRPr="00C3650A" w:rsidRDefault="003E77E1" w:rsidP="001C3100">
      <w:pPr>
        <w:pStyle w:val="Heading1"/>
        <w:spacing w:before="0" w:after="240"/>
        <w:ind w:left="720" w:hanging="720"/>
        <w:jc w:val="both"/>
        <w:rPr>
          <w:color w:val="auto"/>
        </w:rPr>
      </w:pPr>
      <w:r w:rsidRPr="00C3650A">
        <w:rPr>
          <w:color w:val="auto"/>
        </w:rPr>
        <w:t xml:space="preserve">Methodology and </w:t>
      </w:r>
      <w:r w:rsidR="00D53208" w:rsidRPr="00C3650A">
        <w:rPr>
          <w:color w:val="auto"/>
        </w:rPr>
        <w:t>T</w:t>
      </w:r>
      <w:r w:rsidRPr="00C3650A">
        <w:rPr>
          <w:color w:val="auto"/>
        </w:rPr>
        <w:t>imeline</w:t>
      </w:r>
    </w:p>
    <w:p w14:paraId="353A7E0A" w14:textId="6CEB263B" w:rsidR="00E8426F" w:rsidRPr="00B62DC2" w:rsidRDefault="00E8426F" w:rsidP="0013336B">
      <w:pPr>
        <w:spacing w:after="240"/>
        <w:jc w:val="both"/>
      </w:pPr>
      <w:r w:rsidRPr="00C3650A">
        <w:t xml:space="preserve">This review </w:t>
      </w:r>
      <w:r w:rsidR="00991960" w:rsidRPr="00C3650A">
        <w:t xml:space="preserve">will play a key role </w:t>
      </w:r>
      <w:r w:rsidR="0085506D" w:rsidRPr="00C3650A">
        <w:t xml:space="preserve">is facilitating NTDC to </w:t>
      </w:r>
      <w:r w:rsidRPr="00C3650A">
        <w:t xml:space="preserve">deliver on its </w:t>
      </w:r>
      <w:r w:rsidR="0085506D" w:rsidRPr="00C3650A">
        <w:t>Vision, Mission and S</w:t>
      </w:r>
      <w:r w:rsidRPr="00C3650A">
        <w:t xml:space="preserve">trategic </w:t>
      </w:r>
      <w:r w:rsidR="0085506D" w:rsidRPr="00C3650A">
        <w:t>G</w:t>
      </w:r>
      <w:r w:rsidR="00025C95" w:rsidRPr="00C3650A">
        <w:t xml:space="preserve">oals as reflected in its Strategic Plan. </w:t>
      </w:r>
      <w:r w:rsidR="007867D1" w:rsidRPr="00C3650A">
        <w:t>I</w:t>
      </w:r>
      <w:r w:rsidRPr="00C3650A">
        <w:t xml:space="preserve">t will be important to ensure clarity and buy-in of </w:t>
      </w:r>
      <w:r w:rsidR="002F5013" w:rsidRPr="00C3650A">
        <w:t>staff</w:t>
      </w:r>
      <w:r w:rsidR="00597157" w:rsidRPr="00C3650A">
        <w:t xml:space="preserve"> and Board </w:t>
      </w:r>
      <w:r w:rsidRPr="00C3650A">
        <w:t>to this review.</w:t>
      </w:r>
      <w:r w:rsidR="00597157" w:rsidRPr="00C3650A">
        <w:t xml:space="preserve"> </w:t>
      </w:r>
      <w:r w:rsidR="007B4981" w:rsidRPr="00C3650A">
        <w:t xml:space="preserve"> </w:t>
      </w:r>
      <w:r w:rsidRPr="00C3650A">
        <w:t xml:space="preserve">The contribution and participation of the </w:t>
      </w:r>
      <w:r w:rsidR="009361BF" w:rsidRPr="00C3650A">
        <w:t xml:space="preserve">CEO and Management / </w:t>
      </w:r>
      <w:r w:rsidR="007B4981" w:rsidRPr="00C3650A">
        <w:t>C</w:t>
      </w:r>
      <w:r w:rsidRPr="00C3650A">
        <w:t xml:space="preserve">oordination </w:t>
      </w:r>
      <w:r w:rsidR="007B4981" w:rsidRPr="00C3650A">
        <w:t>T</w:t>
      </w:r>
      <w:r w:rsidRPr="00C3650A">
        <w:t xml:space="preserve">eam </w:t>
      </w:r>
      <w:r w:rsidR="000F2AF0" w:rsidRPr="00C3650A">
        <w:t>an</w:t>
      </w:r>
      <w:r w:rsidR="000F2AF0" w:rsidRPr="00B62DC2">
        <w:t xml:space="preserve">d other </w:t>
      </w:r>
      <w:r w:rsidR="0027196A" w:rsidRPr="00B62DC2">
        <w:t xml:space="preserve">frontline </w:t>
      </w:r>
      <w:r w:rsidR="000F2AF0" w:rsidRPr="00B62DC2">
        <w:t xml:space="preserve">staff </w:t>
      </w:r>
      <w:r w:rsidR="007B4981" w:rsidRPr="00B62DC2">
        <w:t xml:space="preserve">will </w:t>
      </w:r>
      <w:r w:rsidR="00B47CBE" w:rsidRPr="00B62DC2">
        <w:t xml:space="preserve">be central to the </w:t>
      </w:r>
      <w:r w:rsidR="007B4981" w:rsidRPr="00B62DC2">
        <w:t>process</w:t>
      </w:r>
      <w:r w:rsidR="00B47CBE" w:rsidRPr="00B62DC2">
        <w:t>. The consultant</w:t>
      </w:r>
      <w:r w:rsidR="00D45FB6" w:rsidRPr="00B62DC2">
        <w:t>/s</w:t>
      </w:r>
      <w:r w:rsidR="00B47CBE" w:rsidRPr="00B62DC2">
        <w:t xml:space="preserve"> will work closely with </w:t>
      </w:r>
      <w:r w:rsidR="00795075" w:rsidRPr="00B62DC2">
        <w:t>M</w:t>
      </w:r>
      <w:r w:rsidR="0027196A" w:rsidRPr="00B62DC2">
        <w:t>anagement and</w:t>
      </w:r>
      <w:r w:rsidR="00D45FB6" w:rsidRPr="00B62DC2">
        <w:t xml:space="preserve"> the </w:t>
      </w:r>
      <w:r w:rsidR="009361BF" w:rsidRPr="00B62DC2">
        <w:t>Executive Committee</w:t>
      </w:r>
      <w:r w:rsidR="000F2AF0" w:rsidRPr="00B62DC2">
        <w:t xml:space="preserve"> </w:t>
      </w:r>
      <w:r w:rsidR="00B47CBE" w:rsidRPr="00B62DC2">
        <w:t>in agreeing the final methodology and sources of information, and in gathering information about present ways of working in the organisation.</w:t>
      </w:r>
    </w:p>
    <w:p w14:paraId="20021116" w14:textId="7359B2EA" w:rsidR="00B47CBE" w:rsidRPr="00B62DC2" w:rsidRDefault="00B47CBE" w:rsidP="00F25074">
      <w:pPr>
        <w:jc w:val="both"/>
      </w:pPr>
      <w:r w:rsidRPr="00B62DC2">
        <w:t>The consultant</w:t>
      </w:r>
      <w:r w:rsidR="007D2D28" w:rsidRPr="00B62DC2">
        <w:t>/s</w:t>
      </w:r>
      <w:r w:rsidRPr="00B62DC2">
        <w:t xml:space="preserve"> will use their knowledge of the sector to </w:t>
      </w:r>
      <w:r w:rsidR="007D2D28" w:rsidRPr="00B62DC2">
        <w:t xml:space="preserve">assist in reviewing </w:t>
      </w:r>
      <w:r w:rsidR="000F2AF0" w:rsidRPr="00B62DC2">
        <w:t>NTDC</w:t>
      </w:r>
      <w:r w:rsidR="00FE71EA" w:rsidRPr="00B62DC2">
        <w:t>’s</w:t>
      </w:r>
      <w:r w:rsidRPr="00B62DC2">
        <w:t xml:space="preserve"> organisational structure</w:t>
      </w:r>
      <w:r w:rsidR="007D2D28" w:rsidRPr="00B62DC2">
        <w:t xml:space="preserve">, ensuring that it is fit for purpose and enables the organisation to deliver </w:t>
      </w:r>
      <w:r w:rsidR="00795075" w:rsidRPr="00B62DC2">
        <w:t xml:space="preserve">on its objectives in a manner that is consistent </w:t>
      </w:r>
      <w:r w:rsidR="007D2D28" w:rsidRPr="00B62DC2">
        <w:t>with recognised best practice in the sector</w:t>
      </w:r>
      <w:r w:rsidR="00D45FB6" w:rsidRPr="00B62DC2">
        <w:t xml:space="preserve"> and value for money</w:t>
      </w:r>
      <w:r w:rsidR="007D2D28" w:rsidRPr="00B62DC2">
        <w:t xml:space="preserve">. </w:t>
      </w:r>
      <w:r w:rsidR="00C56846" w:rsidRPr="00B62DC2">
        <w:t xml:space="preserve">S/he will provide regular updates to </w:t>
      </w:r>
      <w:r w:rsidR="00411E00" w:rsidRPr="00B62DC2">
        <w:t xml:space="preserve">the Executive Committee and attend meetings of the Committee as required. </w:t>
      </w:r>
    </w:p>
    <w:p w14:paraId="0A564F77" w14:textId="38D877FB" w:rsidR="00B47CBE" w:rsidRDefault="00B47CBE" w:rsidP="0098503B">
      <w:pPr>
        <w:spacing w:after="0"/>
        <w:jc w:val="both"/>
      </w:pPr>
      <w:r w:rsidRPr="00C3650A">
        <w:t xml:space="preserve">This review </w:t>
      </w:r>
      <w:r w:rsidR="007D2D28" w:rsidRPr="00C3650A">
        <w:t>will</w:t>
      </w:r>
      <w:r w:rsidRPr="00C3650A">
        <w:t xml:space="preserve"> be undertaken within </w:t>
      </w:r>
      <w:r w:rsidR="000C38AA" w:rsidRPr="00C3650A">
        <w:t>a three-month</w:t>
      </w:r>
      <w:r w:rsidR="00BC6E6D" w:rsidRPr="00C3650A">
        <w:t xml:space="preserve"> timeframe from the commencement date</w:t>
      </w:r>
      <w:r w:rsidRPr="00C3650A">
        <w:t xml:space="preserve">, with the start and end dates </w:t>
      </w:r>
      <w:r w:rsidR="00322B8C" w:rsidRPr="00C3650A">
        <w:t xml:space="preserve">and the Plan of Work </w:t>
      </w:r>
      <w:r w:rsidRPr="00C3650A">
        <w:t xml:space="preserve">agreed in advance </w:t>
      </w:r>
      <w:r w:rsidR="00184003" w:rsidRPr="00C3650A">
        <w:t xml:space="preserve">between the </w:t>
      </w:r>
      <w:r w:rsidRPr="00C3650A">
        <w:t>consultant</w:t>
      </w:r>
      <w:r w:rsidR="00184003" w:rsidRPr="00C3650A">
        <w:t>/s and the Executive Committee on behalf of the Board</w:t>
      </w:r>
      <w:r w:rsidR="009129AB" w:rsidRPr="00C3650A">
        <w:t xml:space="preserve">. </w:t>
      </w:r>
    </w:p>
    <w:p w14:paraId="2B18D716" w14:textId="77777777" w:rsidR="0098503B" w:rsidRPr="00C3650A" w:rsidRDefault="0098503B" w:rsidP="0098503B">
      <w:pPr>
        <w:spacing w:after="0"/>
        <w:jc w:val="both"/>
      </w:pPr>
    </w:p>
    <w:p w14:paraId="2C332CDF" w14:textId="5BE09268" w:rsidR="003E77E1" w:rsidRPr="00C3650A" w:rsidRDefault="0022641A" w:rsidP="001C3100">
      <w:pPr>
        <w:pStyle w:val="Heading1"/>
        <w:spacing w:before="0" w:after="240"/>
        <w:ind w:left="720" w:hanging="720"/>
        <w:jc w:val="both"/>
        <w:rPr>
          <w:color w:val="auto"/>
        </w:rPr>
      </w:pPr>
      <w:r w:rsidRPr="00C3650A">
        <w:rPr>
          <w:color w:val="auto"/>
        </w:rPr>
        <w:t>Tendering Process</w:t>
      </w:r>
    </w:p>
    <w:p w14:paraId="424D3A08" w14:textId="77777777" w:rsidR="008C7C62" w:rsidRPr="00B62DC2" w:rsidRDefault="008C7C62" w:rsidP="0013336B">
      <w:pPr>
        <w:spacing w:after="0"/>
        <w:jc w:val="both"/>
      </w:pPr>
      <w:r w:rsidRPr="00B62DC2">
        <w:t xml:space="preserve">There is a tendering process in place to select the </w:t>
      </w:r>
      <w:r w:rsidR="00D45FB6" w:rsidRPr="00B62DC2">
        <w:t>c</w:t>
      </w:r>
      <w:r w:rsidRPr="00B62DC2">
        <w:t>onsultant</w:t>
      </w:r>
      <w:r w:rsidR="00787B20" w:rsidRPr="00B62DC2">
        <w:t>/s</w:t>
      </w:r>
      <w:r w:rsidRPr="00B62DC2">
        <w:t xml:space="preserve"> to carry out this piece of work. In tendering, each p</w:t>
      </w:r>
      <w:r w:rsidR="00D52BCF" w:rsidRPr="00B62DC2">
        <w:t>arty</w:t>
      </w:r>
      <w:r w:rsidRPr="00B62DC2">
        <w:t xml:space="preserve"> is asked</w:t>
      </w:r>
      <w:r w:rsidR="007B4981" w:rsidRPr="00B62DC2">
        <w:t xml:space="preserve"> to include the following</w:t>
      </w:r>
      <w:r w:rsidRPr="00B62DC2">
        <w:t>:</w:t>
      </w:r>
    </w:p>
    <w:p w14:paraId="12CC9C25" w14:textId="77777777" w:rsidR="0022290E" w:rsidRPr="00B62DC2" w:rsidRDefault="0022290E" w:rsidP="0013336B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B62DC2">
        <w:t xml:space="preserve">Details of their expertise and previous experience of the sector and how this will enable the consultant/s to undertake the proposed piece of work. </w:t>
      </w:r>
    </w:p>
    <w:p w14:paraId="782DF7F4" w14:textId="77777777" w:rsidR="003B3582" w:rsidRPr="00B62DC2" w:rsidRDefault="007B4981" w:rsidP="003B3582">
      <w:pPr>
        <w:pStyle w:val="ListParagraph"/>
        <w:numPr>
          <w:ilvl w:val="0"/>
          <w:numId w:val="5"/>
        </w:numPr>
        <w:jc w:val="both"/>
      </w:pPr>
      <w:r w:rsidRPr="00B62DC2">
        <w:t>A</w:t>
      </w:r>
      <w:r w:rsidR="00D45FB6" w:rsidRPr="00B62DC2">
        <w:t>n</w:t>
      </w:r>
      <w:r w:rsidRPr="00B62DC2">
        <w:t xml:space="preserve"> o</w:t>
      </w:r>
      <w:r w:rsidR="008C7C62" w:rsidRPr="00B62DC2">
        <w:t xml:space="preserve">utline </w:t>
      </w:r>
      <w:r w:rsidRPr="00B62DC2">
        <w:t xml:space="preserve">of </w:t>
      </w:r>
      <w:r w:rsidR="008C7C62" w:rsidRPr="00B62DC2">
        <w:t>how they propose to carry out the piece of work</w:t>
      </w:r>
      <w:r w:rsidR="00A02AB0" w:rsidRPr="00B62DC2">
        <w:t xml:space="preserve">, </w:t>
      </w:r>
      <w:r w:rsidR="008C7C62" w:rsidRPr="00B62DC2">
        <w:t>and the timeframe within which it would be completed</w:t>
      </w:r>
      <w:r w:rsidR="00AB022A" w:rsidRPr="00B62DC2">
        <w:t xml:space="preserve"> and a</w:t>
      </w:r>
      <w:r w:rsidR="009F6B05" w:rsidRPr="00B62DC2">
        <w:t xml:space="preserve">n indication of the number of days </w:t>
      </w:r>
      <w:r w:rsidR="006F0209" w:rsidRPr="00B62DC2">
        <w:t>they anticipate allocating to the work</w:t>
      </w:r>
      <w:r w:rsidR="00AB022A" w:rsidRPr="00B62DC2">
        <w:t xml:space="preserve">. </w:t>
      </w:r>
    </w:p>
    <w:p w14:paraId="5EFBC5FC" w14:textId="14FB3F3A" w:rsidR="007B4981" w:rsidRPr="00B62DC2" w:rsidRDefault="009129AB" w:rsidP="00A572BC">
      <w:pPr>
        <w:pStyle w:val="ListParagraph"/>
        <w:numPr>
          <w:ilvl w:val="0"/>
          <w:numId w:val="5"/>
        </w:numPr>
        <w:jc w:val="both"/>
      </w:pPr>
      <w:r w:rsidRPr="00B62DC2">
        <w:t>De</w:t>
      </w:r>
      <w:r w:rsidR="007B4981" w:rsidRPr="00B62DC2">
        <w:t xml:space="preserve">tails as to the cost </w:t>
      </w:r>
      <w:r w:rsidR="00F02908" w:rsidRPr="00B62DC2">
        <w:t>of carrying out this piece of wor</w:t>
      </w:r>
      <w:r w:rsidR="000C38AA" w:rsidRPr="00B62DC2">
        <w:t>k.</w:t>
      </w:r>
      <w:r w:rsidR="003B3582" w:rsidRPr="00B62DC2">
        <w:t xml:space="preserve"> Tenders should include a breakdown of all costs associated with carrying out the piece of work. All prices quoted must be all-inclusive. The VAT rate(s) where applicable should be indicated separately.</w:t>
      </w:r>
    </w:p>
    <w:p w14:paraId="48FB95EB" w14:textId="3EBABF95" w:rsidR="005379E6" w:rsidRPr="00B62DC2" w:rsidRDefault="005379E6" w:rsidP="0002119E">
      <w:pPr>
        <w:pStyle w:val="ListParagraph"/>
        <w:numPr>
          <w:ilvl w:val="0"/>
          <w:numId w:val="5"/>
        </w:numPr>
        <w:jc w:val="both"/>
      </w:pPr>
      <w:r w:rsidRPr="00B62DC2">
        <w:t xml:space="preserve">Evidence of Tax </w:t>
      </w:r>
      <w:r w:rsidR="00A572BC" w:rsidRPr="00B62DC2">
        <w:t>C</w:t>
      </w:r>
      <w:r w:rsidRPr="00B62DC2">
        <w:t>ompliance</w:t>
      </w:r>
      <w:r w:rsidR="00827BF7" w:rsidRPr="00B62DC2">
        <w:t>.</w:t>
      </w:r>
    </w:p>
    <w:p w14:paraId="6A7F3AD1" w14:textId="5D3850FE" w:rsidR="0013336B" w:rsidRPr="00B62DC2" w:rsidRDefault="0013336B" w:rsidP="0002119E">
      <w:pPr>
        <w:pStyle w:val="ListParagraph"/>
        <w:numPr>
          <w:ilvl w:val="0"/>
          <w:numId w:val="5"/>
        </w:numPr>
        <w:jc w:val="both"/>
      </w:pPr>
      <w:r w:rsidRPr="00B62DC2">
        <w:t>Evidence o</w:t>
      </w:r>
      <w:r w:rsidR="00193026" w:rsidRPr="00B62DC2">
        <w:t>f appropriate insurance</w:t>
      </w:r>
    </w:p>
    <w:p w14:paraId="33D02A57" w14:textId="726B6EF8" w:rsidR="00827BF7" w:rsidRDefault="00827BF7" w:rsidP="0002119E">
      <w:pPr>
        <w:pStyle w:val="ListParagraph"/>
        <w:numPr>
          <w:ilvl w:val="0"/>
          <w:numId w:val="5"/>
        </w:numPr>
        <w:jc w:val="both"/>
      </w:pPr>
      <w:r w:rsidRPr="00B62DC2">
        <w:t xml:space="preserve">Evidence of </w:t>
      </w:r>
      <w:r w:rsidR="003B3582" w:rsidRPr="00B62DC2">
        <w:t>previous experience in the sector.</w:t>
      </w:r>
    </w:p>
    <w:p w14:paraId="682111BA" w14:textId="77777777" w:rsidR="002053B2" w:rsidRPr="00B62DC2" w:rsidRDefault="002053B2" w:rsidP="002053B2">
      <w:pPr>
        <w:pStyle w:val="ListParagraph"/>
        <w:jc w:val="both"/>
      </w:pPr>
    </w:p>
    <w:p w14:paraId="0FF10B1D" w14:textId="0CCC2822" w:rsidR="00525FD2" w:rsidRPr="00525FD2" w:rsidRDefault="00525FD2" w:rsidP="00525FD2">
      <w:pPr>
        <w:spacing w:after="0"/>
        <w:rPr>
          <w:b/>
          <w:bCs/>
          <w:sz w:val="24"/>
          <w:szCs w:val="24"/>
          <w:lang w:eastAsia="en-GB"/>
        </w:rPr>
      </w:pPr>
      <w:r w:rsidRPr="00525FD2">
        <w:rPr>
          <w:b/>
          <w:bCs/>
          <w:sz w:val="24"/>
          <w:szCs w:val="24"/>
          <w:lang w:eastAsia="en-GB"/>
        </w:rPr>
        <w:lastRenderedPageBreak/>
        <w:t xml:space="preserve">Informal </w:t>
      </w:r>
      <w:r w:rsidR="00A21C0C">
        <w:rPr>
          <w:b/>
          <w:bCs/>
          <w:sz w:val="24"/>
          <w:szCs w:val="24"/>
          <w:lang w:eastAsia="en-GB"/>
        </w:rPr>
        <w:t>i</w:t>
      </w:r>
      <w:r w:rsidRPr="00525FD2">
        <w:rPr>
          <w:b/>
          <w:bCs/>
          <w:sz w:val="24"/>
          <w:szCs w:val="24"/>
          <w:lang w:eastAsia="en-GB"/>
        </w:rPr>
        <w:t>nquiries</w:t>
      </w:r>
    </w:p>
    <w:p w14:paraId="2D4417AD" w14:textId="331CF7BD" w:rsidR="00525FD2" w:rsidRDefault="00525FD2" w:rsidP="00525FD2">
      <w:pPr>
        <w:spacing w:after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Informal </w:t>
      </w:r>
      <w:r w:rsidR="00A21C0C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nquiries </w:t>
      </w:r>
      <w:r w:rsidRPr="00A1431D">
        <w:rPr>
          <w:sz w:val="24"/>
          <w:szCs w:val="24"/>
          <w:lang w:eastAsia="en-GB"/>
        </w:rPr>
        <w:t xml:space="preserve"> by </w:t>
      </w:r>
      <w:r>
        <w:rPr>
          <w:sz w:val="24"/>
          <w:szCs w:val="24"/>
          <w:lang w:eastAsia="en-GB"/>
        </w:rPr>
        <w:t xml:space="preserve">Friday 22 August </w:t>
      </w:r>
      <w:r w:rsidRPr="00A1431D">
        <w:rPr>
          <w:sz w:val="24"/>
          <w:szCs w:val="24"/>
          <w:lang w:eastAsia="en-GB"/>
        </w:rPr>
        <w:t xml:space="preserve">at 12.00 noon to </w:t>
      </w:r>
      <w:r>
        <w:rPr>
          <w:sz w:val="24"/>
          <w:szCs w:val="24"/>
          <w:lang w:eastAsia="en-GB"/>
        </w:rPr>
        <w:t>M</w:t>
      </w:r>
      <w:r w:rsidRPr="00A1431D">
        <w:rPr>
          <w:sz w:val="24"/>
          <w:szCs w:val="24"/>
          <w:lang w:eastAsia="en-GB"/>
        </w:rPr>
        <w:t xml:space="preserve">ichael </w:t>
      </w:r>
      <w:r>
        <w:rPr>
          <w:sz w:val="24"/>
          <w:szCs w:val="24"/>
          <w:lang w:eastAsia="en-GB"/>
        </w:rPr>
        <w:t>M</w:t>
      </w:r>
      <w:r w:rsidRPr="00A1431D">
        <w:rPr>
          <w:sz w:val="24"/>
          <w:szCs w:val="24"/>
          <w:lang w:eastAsia="en-GB"/>
        </w:rPr>
        <w:t xml:space="preserve">urray CEO </w:t>
      </w:r>
      <w:hyperlink r:id="rId5" w:history="1">
        <w:r w:rsidRPr="00A1431D">
          <w:rPr>
            <w:rStyle w:val="Hyperlink"/>
            <w:sz w:val="24"/>
            <w:szCs w:val="24"/>
            <w:lang w:eastAsia="en-GB"/>
          </w:rPr>
          <w:t>mmurray@ntdc.ie</w:t>
        </w:r>
      </w:hyperlink>
      <w:r w:rsidRPr="00A1431D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or Monica McElvaney Chairperson </w:t>
      </w:r>
      <w:hyperlink r:id="rId6" w:history="1">
        <w:r w:rsidRPr="0001156E">
          <w:rPr>
            <w:rStyle w:val="Hyperlink"/>
            <w:sz w:val="24"/>
            <w:szCs w:val="24"/>
            <w:lang w:eastAsia="en-GB"/>
          </w:rPr>
          <w:t>mcelvaney2021@gmail.com</w:t>
        </w:r>
      </w:hyperlink>
      <w:r>
        <w:rPr>
          <w:sz w:val="24"/>
          <w:szCs w:val="24"/>
          <w:lang w:eastAsia="en-GB"/>
        </w:rPr>
        <w:t xml:space="preserve">  </w:t>
      </w:r>
    </w:p>
    <w:p w14:paraId="391C5B8D" w14:textId="77777777" w:rsidR="00525FD2" w:rsidRDefault="00525FD2" w:rsidP="007D1E07">
      <w:pPr>
        <w:tabs>
          <w:tab w:val="left" w:pos="709"/>
        </w:tabs>
        <w:spacing w:after="0"/>
        <w:jc w:val="both"/>
        <w:rPr>
          <w:rFonts w:eastAsia="Times New Roman"/>
          <w:b/>
          <w:bCs/>
          <w:highlight w:val="lightGray"/>
          <w:lang w:eastAsia="en-GB"/>
        </w:rPr>
      </w:pPr>
    </w:p>
    <w:p w14:paraId="78A6B68C" w14:textId="6CC41311" w:rsidR="00411E63" w:rsidRPr="002053B2" w:rsidRDefault="00C31FCD" w:rsidP="007D1E07">
      <w:pPr>
        <w:tabs>
          <w:tab w:val="left" w:pos="709"/>
        </w:tabs>
        <w:spacing w:after="0"/>
        <w:jc w:val="both"/>
        <w:rPr>
          <w:rFonts w:eastAsia="Times New Roman"/>
          <w:b/>
          <w:bCs/>
          <w:lang w:eastAsia="en-GB"/>
        </w:rPr>
      </w:pPr>
      <w:r w:rsidRPr="002053B2">
        <w:rPr>
          <w:rFonts w:eastAsia="Times New Roman"/>
          <w:b/>
          <w:bCs/>
          <w:highlight w:val="lightGray"/>
          <w:lang w:eastAsia="en-GB"/>
        </w:rPr>
        <w:t>COMPLETED TENDER DOCUMENTS SHOULD BE RETURNED TO:</w:t>
      </w:r>
      <w:r w:rsidRPr="002053B2">
        <w:rPr>
          <w:rFonts w:eastAsia="Times New Roman"/>
          <w:b/>
          <w:bCs/>
          <w:lang w:eastAsia="en-GB"/>
        </w:rPr>
        <w:t xml:space="preserve"> </w:t>
      </w:r>
    </w:p>
    <w:p w14:paraId="2AE20DD6" w14:textId="13603A24" w:rsidR="00411E63" w:rsidRPr="002053B2" w:rsidRDefault="00411E63" w:rsidP="007D1E07">
      <w:pPr>
        <w:tabs>
          <w:tab w:val="left" w:pos="709"/>
        </w:tabs>
        <w:spacing w:after="0"/>
        <w:jc w:val="both"/>
        <w:rPr>
          <w:rFonts w:eastAsia="Times New Roman"/>
          <w:lang w:eastAsia="en-GB"/>
        </w:rPr>
      </w:pPr>
      <w:r w:rsidRPr="002053B2">
        <w:rPr>
          <w:rFonts w:eastAsia="Times New Roman"/>
          <w:lang w:eastAsia="en-GB"/>
        </w:rPr>
        <w:t>Michael</w:t>
      </w:r>
      <w:r w:rsidR="007D1E07" w:rsidRPr="002053B2">
        <w:rPr>
          <w:rFonts w:eastAsia="Times New Roman"/>
          <w:lang w:eastAsia="en-GB"/>
        </w:rPr>
        <w:t xml:space="preserve"> Murray, CEO </w:t>
      </w:r>
      <w:r w:rsidRPr="002053B2">
        <w:rPr>
          <w:rFonts w:eastAsia="Times New Roman"/>
          <w:lang w:eastAsia="en-GB"/>
        </w:rPr>
        <w:t>North Tipperary Development Company,</w:t>
      </w:r>
      <w:r w:rsidR="007D1E07" w:rsidRPr="002053B2">
        <w:rPr>
          <w:rFonts w:eastAsia="Times New Roman"/>
          <w:lang w:eastAsia="en-GB"/>
        </w:rPr>
        <w:t xml:space="preserve"> </w:t>
      </w:r>
      <w:r w:rsidRPr="002053B2">
        <w:rPr>
          <w:rFonts w:eastAsia="Times New Roman"/>
          <w:lang w:eastAsia="en-GB"/>
        </w:rPr>
        <w:t>Second Floor, Friar’s Court,</w:t>
      </w:r>
      <w:r w:rsidR="007D1E07" w:rsidRPr="002053B2">
        <w:rPr>
          <w:rFonts w:eastAsia="Times New Roman"/>
          <w:lang w:eastAsia="en-GB"/>
        </w:rPr>
        <w:t xml:space="preserve"> </w:t>
      </w:r>
      <w:r w:rsidRPr="002053B2">
        <w:rPr>
          <w:rFonts w:eastAsia="Times New Roman"/>
          <w:lang w:eastAsia="en-GB"/>
        </w:rPr>
        <w:t>Nenagh,</w:t>
      </w:r>
      <w:r w:rsidR="007D1E07" w:rsidRPr="002053B2">
        <w:rPr>
          <w:rFonts w:eastAsia="Times New Roman"/>
          <w:lang w:eastAsia="en-GB"/>
        </w:rPr>
        <w:t xml:space="preserve"> </w:t>
      </w:r>
      <w:r w:rsidRPr="002053B2">
        <w:rPr>
          <w:rFonts w:eastAsia="Times New Roman"/>
          <w:lang w:eastAsia="en-GB"/>
        </w:rPr>
        <w:t>Co. Tipperary</w:t>
      </w:r>
    </w:p>
    <w:p w14:paraId="626F7338" w14:textId="02B7E6BA" w:rsidR="00411E63" w:rsidRPr="002053B2" w:rsidRDefault="00411E63" w:rsidP="00411E63">
      <w:pPr>
        <w:tabs>
          <w:tab w:val="left" w:pos="709"/>
        </w:tabs>
        <w:jc w:val="both"/>
        <w:rPr>
          <w:rFonts w:eastAsia="Times New Roman"/>
          <w:lang w:eastAsia="en-GB"/>
        </w:rPr>
      </w:pPr>
      <w:r w:rsidRPr="002053B2">
        <w:rPr>
          <w:rFonts w:eastAsia="Times New Roman"/>
          <w:lang w:eastAsia="en-GB"/>
        </w:rPr>
        <w:t xml:space="preserve">Alternatively, tenders can be forwarded by email to </w:t>
      </w:r>
      <w:hyperlink r:id="rId7" w:history="1">
        <w:r w:rsidR="00C31FCD" w:rsidRPr="002053B2">
          <w:rPr>
            <w:rStyle w:val="Hyperlink"/>
            <w:rFonts w:eastAsia="Times New Roman"/>
            <w:color w:val="auto"/>
            <w:lang w:eastAsia="en-GB"/>
          </w:rPr>
          <w:t>mmurray@ntdc.ie</w:t>
        </w:r>
      </w:hyperlink>
      <w:r w:rsidR="00C31FCD" w:rsidRPr="002053B2">
        <w:rPr>
          <w:rFonts w:eastAsia="Times New Roman"/>
          <w:lang w:eastAsia="en-GB"/>
        </w:rPr>
        <w:t xml:space="preserve"> </w:t>
      </w:r>
    </w:p>
    <w:p w14:paraId="23C61783" w14:textId="12386BD4" w:rsidR="00411E63" w:rsidRDefault="00A1431D" w:rsidP="0098503B">
      <w:pPr>
        <w:spacing w:after="0"/>
        <w:rPr>
          <w:b/>
          <w:bCs/>
          <w:sz w:val="24"/>
          <w:szCs w:val="24"/>
          <w:lang w:eastAsia="en-GB"/>
        </w:rPr>
      </w:pPr>
      <w:r w:rsidRPr="00AA71B4">
        <w:rPr>
          <w:sz w:val="24"/>
          <w:szCs w:val="24"/>
          <w:highlight w:val="lightGray"/>
          <w:lang w:eastAsia="en-GB"/>
        </w:rPr>
        <w:t xml:space="preserve">Tender Applications must be submitted by: </w:t>
      </w:r>
      <w:r w:rsidRPr="00AA71B4">
        <w:rPr>
          <w:b/>
          <w:bCs/>
          <w:sz w:val="24"/>
          <w:szCs w:val="24"/>
          <w:highlight w:val="lightGray"/>
          <w:lang w:eastAsia="en-GB"/>
        </w:rPr>
        <w:t>Monday 1</w:t>
      </w:r>
      <w:r w:rsidRPr="00AA71B4">
        <w:rPr>
          <w:b/>
          <w:bCs/>
          <w:sz w:val="24"/>
          <w:szCs w:val="24"/>
          <w:highlight w:val="lightGray"/>
          <w:vertAlign w:val="superscript"/>
          <w:lang w:eastAsia="en-GB"/>
        </w:rPr>
        <w:t>st</w:t>
      </w:r>
      <w:r w:rsidRPr="00AA71B4">
        <w:rPr>
          <w:b/>
          <w:bCs/>
          <w:sz w:val="24"/>
          <w:szCs w:val="24"/>
          <w:highlight w:val="lightGray"/>
          <w:lang w:eastAsia="en-GB"/>
        </w:rPr>
        <w:t xml:space="preserve"> September 2025 at 12.00noon.</w:t>
      </w:r>
      <w:r>
        <w:rPr>
          <w:b/>
          <w:bCs/>
          <w:sz w:val="24"/>
          <w:szCs w:val="24"/>
          <w:lang w:eastAsia="en-GB"/>
        </w:rPr>
        <w:t xml:space="preserve">  </w:t>
      </w:r>
    </w:p>
    <w:p w14:paraId="5D131D42" w14:textId="77777777" w:rsidR="0098503B" w:rsidRPr="002053B2" w:rsidRDefault="0098503B" w:rsidP="0098503B">
      <w:pPr>
        <w:spacing w:after="0"/>
        <w:rPr>
          <w:sz w:val="24"/>
          <w:szCs w:val="24"/>
          <w:lang w:eastAsia="en-GB"/>
        </w:rPr>
      </w:pPr>
    </w:p>
    <w:p w14:paraId="419BC617" w14:textId="0225EFE2" w:rsidR="00411E63" w:rsidRPr="002053B2" w:rsidRDefault="00411E63" w:rsidP="00193026">
      <w:pPr>
        <w:pStyle w:val="Heading2"/>
        <w:numPr>
          <w:ilvl w:val="3"/>
          <w:numId w:val="2"/>
        </w:numPr>
        <w:spacing w:before="0" w:after="240"/>
        <w:ind w:left="720" w:hanging="720"/>
        <w:rPr>
          <w:color w:val="auto"/>
          <w:sz w:val="28"/>
          <w:szCs w:val="28"/>
        </w:rPr>
      </w:pPr>
      <w:r w:rsidRPr="002053B2">
        <w:rPr>
          <w:color w:val="auto"/>
          <w:sz w:val="28"/>
          <w:szCs w:val="28"/>
        </w:rPr>
        <w:t>Terms and Conditions</w:t>
      </w:r>
      <w:r w:rsidR="002E76AB">
        <w:rPr>
          <w:color w:val="auto"/>
          <w:sz w:val="28"/>
          <w:szCs w:val="28"/>
        </w:rPr>
        <w:t xml:space="preserve"> </w:t>
      </w:r>
    </w:p>
    <w:p w14:paraId="100B28AA" w14:textId="3A1A9F7B" w:rsidR="00411E63" w:rsidRPr="002053B2" w:rsidRDefault="00411E63" w:rsidP="00193026">
      <w:pPr>
        <w:spacing w:after="240"/>
        <w:jc w:val="both"/>
      </w:pPr>
      <w:r w:rsidRPr="002053B2">
        <w:rPr>
          <w:b/>
          <w:bCs/>
          <w:u w:val="single"/>
        </w:rPr>
        <w:t>TENDERING COSTS</w:t>
      </w:r>
      <w:r w:rsidR="00D73C4E" w:rsidRPr="002053B2">
        <w:rPr>
          <w:b/>
          <w:bCs/>
          <w:u w:val="single"/>
        </w:rPr>
        <w:t>:</w:t>
      </w:r>
      <w:r w:rsidRPr="002053B2">
        <w:t xml:space="preserve"> All costs and expenses incurred by Tenderers relating to their participation in this Competition including, but not being limited to, site visits, field trials, demonstrations and/or presentations shall be borne by and are a matter for discharge by the Tenderers exclusively.</w:t>
      </w:r>
    </w:p>
    <w:p w14:paraId="534529EE" w14:textId="2A211DE1" w:rsidR="00411E63" w:rsidRPr="002053B2" w:rsidRDefault="00411E63" w:rsidP="00D73C4E">
      <w:pPr>
        <w:jc w:val="both"/>
      </w:pPr>
      <w:r w:rsidRPr="002053B2">
        <w:rPr>
          <w:b/>
          <w:bCs/>
          <w:u w:val="single"/>
        </w:rPr>
        <w:t>CONFIDENTIALITY</w:t>
      </w:r>
      <w:r w:rsidR="00C97C05" w:rsidRPr="002053B2">
        <w:rPr>
          <w:b/>
          <w:bCs/>
          <w:u w:val="single"/>
        </w:rPr>
        <w:t>:</w:t>
      </w:r>
      <w:r w:rsidRPr="002053B2">
        <w:t xml:space="preserve"> All documentation, data</w:t>
      </w:r>
      <w:r w:rsidR="00BF54B3" w:rsidRPr="002053B2">
        <w:t xml:space="preserve"> and other </w:t>
      </w:r>
      <w:r w:rsidR="000D0A80" w:rsidRPr="002053B2">
        <w:t xml:space="preserve">relevant </w:t>
      </w:r>
      <w:r w:rsidRPr="002053B2">
        <w:t xml:space="preserve">information or material disclosed or furnished by the Contracting Authority to Tenderers </w:t>
      </w:r>
      <w:proofErr w:type="gramStart"/>
      <w:r w:rsidRPr="002053B2">
        <w:t>during the course of</w:t>
      </w:r>
      <w:proofErr w:type="gramEnd"/>
      <w:r w:rsidRPr="002053B2">
        <w:t xml:space="preserve"> this Competition:</w:t>
      </w:r>
    </w:p>
    <w:p w14:paraId="1F666867" w14:textId="4C9ADA29" w:rsidR="00411E63" w:rsidRPr="002053B2" w:rsidRDefault="00411E63" w:rsidP="00D73C4E">
      <w:pPr>
        <w:ind w:left="720"/>
        <w:jc w:val="both"/>
      </w:pPr>
      <w:r w:rsidRPr="002053B2">
        <w:t xml:space="preserve">(a) are furnished for the sole purpose of replying to this RFT </w:t>
      </w:r>
      <w:r w:rsidR="00C97C05" w:rsidRPr="002053B2">
        <w:t>only.</w:t>
      </w:r>
      <w:r w:rsidRPr="002053B2">
        <w:t xml:space="preserve"> </w:t>
      </w:r>
    </w:p>
    <w:p w14:paraId="36C00233" w14:textId="508A40E6" w:rsidR="00411E63" w:rsidRPr="002053B2" w:rsidRDefault="00411E63" w:rsidP="00D73C4E">
      <w:pPr>
        <w:ind w:left="720"/>
        <w:jc w:val="both"/>
      </w:pPr>
      <w:r w:rsidRPr="002053B2">
        <w:t>(b) may not be used, communicated, reproduced or published for any other purpose without the prior written permission of the Contracting Authority</w:t>
      </w:r>
      <w:r w:rsidR="00657E30" w:rsidRPr="002053B2">
        <w:t>.</w:t>
      </w:r>
    </w:p>
    <w:p w14:paraId="7F211CA4" w14:textId="77777777" w:rsidR="00411E63" w:rsidRPr="002053B2" w:rsidRDefault="00411E63" w:rsidP="00D73C4E">
      <w:pPr>
        <w:ind w:left="720"/>
        <w:jc w:val="both"/>
      </w:pPr>
      <w:r w:rsidRPr="002053B2">
        <w:t xml:space="preserve">(c) shall be treated as confidential by the Tenderer and by any third parties (including subcontractors) engaged or consulted by the Tenderer; and </w:t>
      </w:r>
    </w:p>
    <w:p w14:paraId="5EE0F23D" w14:textId="77777777" w:rsidR="00D73C4E" w:rsidRPr="002053B2" w:rsidRDefault="00A631B3" w:rsidP="00D73C4E">
      <w:pPr>
        <w:jc w:val="both"/>
      </w:pPr>
      <w:r w:rsidRPr="002053B2">
        <w:rPr>
          <w:b/>
          <w:bCs/>
          <w:u w:val="single"/>
        </w:rPr>
        <w:t>COMPLIANCE WITH RELEVANT LEGISLATION:</w:t>
      </w:r>
      <w:r w:rsidR="001E2363" w:rsidRPr="002053B2">
        <w:t xml:space="preserve"> </w:t>
      </w:r>
      <w:r w:rsidR="00F23C03" w:rsidRPr="002053B2">
        <w:t xml:space="preserve">The chosen consultant </w:t>
      </w:r>
      <w:r w:rsidR="004E34E7" w:rsidRPr="002053B2">
        <w:t xml:space="preserve">will be required to provide a signed statement </w:t>
      </w:r>
      <w:r w:rsidR="00ED0726" w:rsidRPr="002053B2">
        <w:t xml:space="preserve">that s/he operates in a manner compliant with all relevant legislation. This including </w:t>
      </w:r>
      <w:r w:rsidR="00015A85" w:rsidRPr="002053B2">
        <w:t>legislation in relation to financial management</w:t>
      </w:r>
      <w:r w:rsidR="0055183E" w:rsidRPr="002053B2">
        <w:t>, employment, data protection</w:t>
      </w:r>
      <w:r w:rsidR="00FA75B3" w:rsidRPr="002053B2">
        <w:t>, equality</w:t>
      </w:r>
      <w:r w:rsidR="00D73C4E" w:rsidRPr="002053B2">
        <w:t xml:space="preserve"> status and health and safety. </w:t>
      </w:r>
    </w:p>
    <w:p w14:paraId="6FD7FD56" w14:textId="0971FBDD" w:rsidR="00C33570" w:rsidRPr="002053B2" w:rsidRDefault="00411E63" w:rsidP="00D73C4E">
      <w:pPr>
        <w:jc w:val="both"/>
      </w:pPr>
      <w:r w:rsidRPr="002053B2">
        <w:rPr>
          <w:b/>
          <w:bCs/>
          <w:u w:val="single"/>
        </w:rPr>
        <w:t>CONFLICTS OF INTEREST</w:t>
      </w:r>
      <w:r w:rsidR="00A631B3" w:rsidRPr="002053B2">
        <w:rPr>
          <w:b/>
          <w:bCs/>
          <w:u w:val="single"/>
        </w:rPr>
        <w:t>:</w:t>
      </w:r>
      <w:r w:rsidRPr="002053B2">
        <w:t xml:space="preserve"> Any conflict of interest or potential conflict of interest on the part of a Tenderer, Subcontractor or individual employee(s) or agent(s) of a Tenderer or Subcontractor(s) must be fully disclosed to the </w:t>
      </w:r>
      <w:r w:rsidR="00D73C4E" w:rsidRPr="002053B2">
        <w:t>NTDC</w:t>
      </w:r>
      <w:r w:rsidRPr="002053B2">
        <w:t xml:space="preserve"> as soon as the conflict or potential conflict is or becomes apparent. In the event of any actual or potential conflict of interest, </w:t>
      </w:r>
      <w:r w:rsidR="00C31FCD" w:rsidRPr="002053B2">
        <w:t>NTDC</w:t>
      </w:r>
      <w:r w:rsidRPr="002053B2">
        <w:t xml:space="preserve"> may invite Tenderers to propose means by which the conflict of interest might be removed. </w:t>
      </w:r>
      <w:r w:rsidR="00C31FCD" w:rsidRPr="002053B2">
        <w:t xml:space="preserve">NTDC </w:t>
      </w:r>
      <w:r w:rsidRPr="002053B2">
        <w:t xml:space="preserve">will, at its absolute discretion, decide on the appropriate course of action, which may in appropriate circumstances include eliminating a Tenderer from this Competition or any Mini-Competition or terminating any Services Contract </w:t>
      </w:r>
      <w:r w:rsidR="00734F98" w:rsidRPr="002053B2">
        <w:t>entered</w:t>
      </w:r>
      <w:r w:rsidRPr="002053B2">
        <w:t xml:space="preserve"> </w:t>
      </w:r>
      <w:r w:rsidR="00C31FCD" w:rsidRPr="002053B2">
        <w:t>with</w:t>
      </w:r>
      <w:r w:rsidRPr="002053B2">
        <w:t xml:space="preserve"> a Tenderer.</w:t>
      </w:r>
    </w:p>
    <w:sectPr w:rsidR="00C33570" w:rsidRPr="002053B2" w:rsidSect="00787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598A"/>
    <w:multiLevelType w:val="hybridMultilevel"/>
    <w:tmpl w:val="082029F8"/>
    <w:lvl w:ilvl="0" w:tplc="158E30CA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30" w:hanging="360"/>
      </w:pPr>
    </w:lvl>
    <w:lvl w:ilvl="2" w:tplc="1809001B" w:tentative="1">
      <w:start w:val="1"/>
      <w:numFmt w:val="lowerRoman"/>
      <w:lvlText w:val="%3."/>
      <w:lvlJc w:val="right"/>
      <w:pPr>
        <w:ind w:left="2250" w:hanging="180"/>
      </w:pPr>
    </w:lvl>
    <w:lvl w:ilvl="3" w:tplc="1809000F" w:tentative="1">
      <w:start w:val="1"/>
      <w:numFmt w:val="decimal"/>
      <w:lvlText w:val="%4."/>
      <w:lvlJc w:val="left"/>
      <w:pPr>
        <w:ind w:left="2970" w:hanging="360"/>
      </w:pPr>
    </w:lvl>
    <w:lvl w:ilvl="4" w:tplc="18090019" w:tentative="1">
      <w:start w:val="1"/>
      <w:numFmt w:val="lowerLetter"/>
      <w:lvlText w:val="%5."/>
      <w:lvlJc w:val="left"/>
      <w:pPr>
        <w:ind w:left="3690" w:hanging="360"/>
      </w:pPr>
    </w:lvl>
    <w:lvl w:ilvl="5" w:tplc="1809001B" w:tentative="1">
      <w:start w:val="1"/>
      <w:numFmt w:val="lowerRoman"/>
      <w:lvlText w:val="%6."/>
      <w:lvlJc w:val="right"/>
      <w:pPr>
        <w:ind w:left="4410" w:hanging="180"/>
      </w:pPr>
    </w:lvl>
    <w:lvl w:ilvl="6" w:tplc="1809000F" w:tentative="1">
      <w:start w:val="1"/>
      <w:numFmt w:val="decimal"/>
      <w:lvlText w:val="%7."/>
      <w:lvlJc w:val="left"/>
      <w:pPr>
        <w:ind w:left="5130" w:hanging="360"/>
      </w:pPr>
    </w:lvl>
    <w:lvl w:ilvl="7" w:tplc="18090019" w:tentative="1">
      <w:start w:val="1"/>
      <w:numFmt w:val="lowerLetter"/>
      <w:lvlText w:val="%8."/>
      <w:lvlJc w:val="left"/>
      <w:pPr>
        <w:ind w:left="5850" w:hanging="360"/>
      </w:pPr>
    </w:lvl>
    <w:lvl w:ilvl="8" w:tplc="1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2B632E6"/>
    <w:multiLevelType w:val="hybridMultilevel"/>
    <w:tmpl w:val="E20809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C1EE44E8">
      <w:start w:val="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726"/>
    <w:multiLevelType w:val="hybridMultilevel"/>
    <w:tmpl w:val="DD9E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66F0"/>
    <w:multiLevelType w:val="hybridMultilevel"/>
    <w:tmpl w:val="867A999C"/>
    <w:lvl w:ilvl="0" w:tplc="1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1BC51642"/>
    <w:multiLevelType w:val="hybridMultilevel"/>
    <w:tmpl w:val="1EB804AA"/>
    <w:lvl w:ilvl="0" w:tplc="51021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ED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A3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C9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2C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2D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2F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2D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C9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AF5BA6"/>
    <w:multiLevelType w:val="hybridMultilevel"/>
    <w:tmpl w:val="043006F6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3DA0054">
      <w:start w:val="1"/>
      <w:numFmt w:val="lowerRoman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C0B42"/>
    <w:multiLevelType w:val="hybridMultilevel"/>
    <w:tmpl w:val="1E621CA6"/>
    <w:lvl w:ilvl="0" w:tplc="1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ED52580"/>
    <w:multiLevelType w:val="hybridMultilevel"/>
    <w:tmpl w:val="CA1A04C6"/>
    <w:lvl w:ilvl="0" w:tplc="1809000F">
      <w:start w:val="1"/>
      <w:numFmt w:val="decimal"/>
      <w:lvlText w:val="%1."/>
      <w:lvlJc w:val="left"/>
      <w:pPr>
        <w:ind w:left="768" w:hanging="360"/>
      </w:pPr>
    </w:lvl>
    <w:lvl w:ilvl="1" w:tplc="18090019">
      <w:start w:val="1"/>
      <w:numFmt w:val="lowerLetter"/>
      <w:lvlText w:val="%2."/>
      <w:lvlJc w:val="left"/>
      <w:pPr>
        <w:ind w:left="1488" w:hanging="360"/>
      </w:pPr>
    </w:lvl>
    <w:lvl w:ilvl="2" w:tplc="1809001B">
      <w:start w:val="1"/>
      <w:numFmt w:val="lowerRoman"/>
      <w:lvlText w:val="%3."/>
      <w:lvlJc w:val="right"/>
      <w:pPr>
        <w:ind w:left="2208" w:hanging="180"/>
      </w:pPr>
    </w:lvl>
    <w:lvl w:ilvl="3" w:tplc="1809000F">
      <w:start w:val="1"/>
      <w:numFmt w:val="decimal"/>
      <w:lvlText w:val="%4."/>
      <w:lvlJc w:val="left"/>
      <w:pPr>
        <w:ind w:left="2928" w:hanging="360"/>
      </w:pPr>
    </w:lvl>
    <w:lvl w:ilvl="4" w:tplc="18090019">
      <w:start w:val="1"/>
      <w:numFmt w:val="lowerLetter"/>
      <w:lvlText w:val="%5."/>
      <w:lvlJc w:val="left"/>
      <w:pPr>
        <w:ind w:left="3648" w:hanging="360"/>
      </w:pPr>
    </w:lvl>
    <w:lvl w:ilvl="5" w:tplc="1809001B">
      <w:start w:val="1"/>
      <w:numFmt w:val="lowerRoman"/>
      <w:lvlText w:val="%6."/>
      <w:lvlJc w:val="right"/>
      <w:pPr>
        <w:ind w:left="4368" w:hanging="180"/>
      </w:pPr>
    </w:lvl>
    <w:lvl w:ilvl="6" w:tplc="1809000F">
      <w:start w:val="1"/>
      <w:numFmt w:val="decimal"/>
      <w:lvlText w:val="%7."/>
      <w:lvlJc w:val="left"/>
      <w:pPr>
        <w:ind w:left="5088" w:hanging="360"/>
      </w:pPr>
    </w:lvl>
    <w:lvl w:ilvl="7" w:tplc="18090019">
      <w:start w:val="1"/>
      <w:numFmt w:val="lowerLetter"/>
      <w:lvlText w:val="%8."/>
      <w:lvlJc w:val="left"/>
      <w:pPr>
        <w:ind w:left="5808" w:hanging="360"/>
      </w:pPr>
    </w:lvl>
    <w:lvl w:ilvl="8" w:tplc="1809001B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6162D6E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864" w:hanging="432"/>
      </w:pPr>
    </w:lvl>
    <w:lvl w:ilvl="1">
      <w:start w:val="1"/>
      <w:numFmt w:val="decimal"/>
      <w:pStyle w:val="Heading2"/>
      <w:lvlText w:val="%1.%2"/>
      <w:lvlJc w:val="left"/>
      <w:pPr>
        <w:ind w:left="1008" w:hanging="576"/>
      </w:pPr>
    </w:lvl>
    <w:lvl w:ilvl="2">
      <w:start w:val="1"/>
      <w:numFmt w:val="decimal"/>
      <w:pStyle w:val="Heading3"/>
      <w:lvlText w:val="%1.%2.%3"/>
      <w:lvlJc w:val="left"/>
      <w:pPr>
        <w:ind w:left="1152" w:hanging="720"/>
      </w:pPr>
    </w:lvl>
    <w:lvl w:ilvl="3">
      <w:start w:val="1"/>
      <w:numFmt w:val="decimal"/>
      <w:pStyle w:val="Heading4"/>
      <w:lvlText w:val="%1.%2.%3.%4"/>
      <w:lvlJc w:val="left"/>
      <w:pPr>
        <w:ind w:left="1296" w:hanging="864"/>
      </w:pPr>
    </w:lvl>
    <w:lvl w:ilvl="4">
      <w:start w:val="1"/>
      <w:numFmt w:val="decimal"/>
      <w:pStyle w:val="Heading5"/>
      <w:lvlText w:val="%1.%2.%3.%4.%5"/>
      <w:lvlJc w:val="left"/>
      <w:pPr>
        <w:ind w:left="144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58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72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872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016" w:hanging="1584"/>
      </w:pPr>
    </w:lvl>
  </w:abstractNum>
  <w:abstractNum w:abstractNumId="9" w15:restartNumberingAfterBreak="0">
    <w:nsid w:val="68BF325F"/>
    <w:multiLevelType w:val="hybridMultilevel"/>
    <w:tmpl w:val="43BA87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238AD"/>
    <w:multiLevelType w:val="hybridMultilevel"/>
    <w:tmpl w:val="244A7E3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7FDEF1F4">
      <w:start w:val="1"/>
      <w:numFmt w:val="lowerRoman"/>
      <w:lvlText w:val="%2)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2" w:tplc="1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1BD2015"/>
    <w:multiLevelType w:val="hybridMultilevel"/>
    <w:tmpl w:val="9C0E5E7A"/>
    <w:lvl w:ilvl="0" w:tplc="6BDEC5B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294E84"/>
    <w:multiLevelType w:val="hybridMultilevel"/>
    <w:tmpl w:val="BA9EB44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846831">
    <w:abstractNumId w:val="8"/>
  </w:num>
  <w:num w:numId="2" w16cid:durableId="1471560353">
    <w:abstractNumId w:val="1"/>
  </w:num>
  <w:num w:numId="3" w16cid:durableId="1743678131">
    <w:abstractNumId w:val="2"/>
  </w:num>
  <w:num w:numId="4" w16cid:durableId="94207884">
    <w:abstractNumId w:val="11"/>
  </w:num>
  <w:num w:numId="5" w16cid:durableId="1082337136">
    <w:abstractNumId w:val="9"/>
  </w:num>
  <w:num w:numId="6" w16cid:durableId="769081588">
    <w:abstractNumId w:val="6"/>
  </w:num>
  <w:num w:numId="7" w16cid:durableId="56364352">
    <w:abstractNumId w:val="10"/>
  </w:num>
  <w:num w:numId="8" w16cid:durableId="1042560602">
    <w:abstractNumId w:val="12"/>
  </w:num>
  <w:num w:numId="9" w16cid:durableId="1951618392">
    <w:abstractNumId w:val="5"/>
  </w:num>
  <w:num w:numId="10" w16cid:durableId="1956059990">
    <w:abstractNumId w:val="0"/>
  </w:num>
  <w:num w:numId="11" w16cid:durableId="1021973333">
    <w:abstractNumId w:val="4"/>
  </w:num>
  <w:num w:numId="12" w16cid:durableId="1949728356">
    <w:abstractNumId w:val="3"/>
  </w:num>
  <w:num w:numId="13" w16cid:durableId="15681482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E1"/>
    <w:rsid w:val="00007FA2"/>
    <w:rsid w:val="00015A85"/>
    <w:rsid w:val="0002119E"/>
    <w:rsid w:val="0002552A"/>
    <w:rsid w:val="00025C95"/>
    <w:rsid w:val="000306E7"/>
    <w:rsid w:val="00033256"/>
    <w:rsid w:val="00041FE3"/>
    <w:rsid w:val="00073EE4"/>
    <w:rsid w:val="00075EBA"/>
    <w:rsid w:val="00087FE9"/>
    <w:rsid w:val="000C38AA"/>
    <w:rsid w:val="000D0A80"/>
    <w:rsid w:val="000E03A0"/>
    <w:rsid w:val="000E6597"/>
    <w:rsid w:val="000F2AF0"/>
    <w:rsid w:val="001065EA"/>
    <w:rsid w:val="00110709"/>
    <w:rsid w:val="00112815"/>
    <w:rsid w:val="001206F4"/>
    <w:rsid w:val="001208D3"/>
    <w:rsid w:val="0013336B"/>
    <w:rsid w:val="00137F40"/>
    <w:rsid w:val="00140435"/>
    <w:rsid w:val="00152913"/>
    <w:rsid w:val="00155420"/>
    <w:rsid w:val="001658DD"/>
    <w:rsid w:val="0016654D"/>
    <w:rsid w:val="001828DA"/>
    <w:rsid w:val="00182A07"/>
    <w:rsid w:val="00184003"/>
    <w:rsid w:val="0018505C"/>
    <w:rsid w:val="00193026"/>
    <w:rsid w:val="0019391F"/>
    <w:rsid w:val="001C3100"/>
    <w:rsid w:val="001C7DE9"/>
    <w:rsid w:val="001D004E"/>
    <w:rsid w:val="001D3134"/>
    <w:rsid w:val="001E2363"/>
    <w:rsid w:val="002004A6"/>
    <w:rsid w:val="002053B2"/>
    <w:rsid w:val="00213DA8"/>
    <w:rsid w:val="00221921"/>
    <w:rsid w:val="0022290E"/>
    <w:rsid w:val="002231C7"/>
    <w:rsid w:val="00223404"/>
    <w:rsid w:val="0022641A"/>
    <w:rsid w:val="002310D4"/>
    <w:rsid w:val="00231461"/>
    <w:rsid w:val="00232763"/>
    <w:rsid w:val="0023476F"/>
    <w:rsid w:val="00242BE3"/>
    <w:rsid w:val="00252CE4"/>
    <w:rsid w:val="00254757"/>
    <w:rsid w:val="00262B99"/>
    <w:rsid w:val="0026477F"/>
    <w:rsid w:val="0026631E"/>
    <w:rsid w:val="0027196A"/>
    <w:rsid w:val="00286FE7"/>
    <w:rsid w:val="00292342"/>
    <w:rsid w:val="002B7E7A"/>
    <w:rsid w:val="002C13A2"/>
    <w:rsid w:val="002C5075"/>
    <w:rsid w:val="002E58AF"/>
    <w:rsid w:val="002E76AB"/>
    <w:rsid w:val="002F00FE"/>
    <w:rsid w:val="002F0F7D"/>
    <w:rsid w:val="002F5013"/>
    <w:rsid w:val="00314496"/>
    <w:rsid w:val="00322B8C"/>
    <w:rsid w:val="00323F82"/>
    <w:rsid w:val="00335603"/>
    <w:rsid w:val="00345FB5"/>
    <w:rsid w:val="00347A58"/>
    <w:rsid w:val="003538C9"/>
    <w:rsid w:val="003658F7"/>
    <w:rsid w:val="0036787A"/>
    <w:rsid w:val="00377773"/>
    <w:rsid w:val="003A4C9E"/>
    <w:rsid w:val="003A6051"/>
    <w:rsid w:val="003A6AF0"/>
    <w:rsid w:val="003A6FDD"/>
    <w:rsid w:val="003A7592"/>
    <w:rsid w:val="003B3150"/>
    <w:rsid w:val="003B3582"/>
    <w:rsid w:val="003B63F0"/>
    <w:rsid w:val="003C3FED"/>
    <w:rsid w:val="003C7E77"/>
    <w:rsid w:val="003D308E"/>
    <w:rsid w:val="003D618F"/>
    <w:rsid w:val="003E77E1"/>
    <w:rsid w:val="00400386"/>
    <w:rsid w:val="0040261A"/>
    <w:rsid w:val="0040774A"/>
    <w:rsid w:val="00411E00"/>
    <w:rsid w:val="00411E63"/>
    <w:rsid w:val="00414259"/>
    <w:rsid w:val="004219BD"/>
    <w:rsid w:val="00460DB4"/>
    <w:rsid w:val="004739AF"/>
    <w:rsid w:val="00486561"/>
    <w:rsid w:val="0048680A"/>
    <w:rsid w:val="00491343"/>
    <w:rsid w:val="004B1F8D"/>
    <w:rsid w:val="004B30F3"/>
    <w:rsid w:val="004D0A58"/>
    <w:rsid w:val="004E34E7"/>
    <w:rsid w:val="004F3571"/>
    <w:rsid w:val="004F722E"/>
    <w:rsid w:val="00525FD2"/>
    <w:rsid w:val="00526462"/>
    <w:rsid w:val="00532999"/>
    <w:rsid w:val="005379E6"/>
    <w:rsid w:val="0055183E"/>
    <w:rsid w:val="00562A0E"/>
    <w:rsid w:val="005718CF"/>
    <w:rsid w:val="00573637"/>
    <w:rsid w:val="00592576"/>
    <w:rsid w:val="005927F1"/>
    <w:rsid w:val="00592A2C"/>
    <w:rsid w:val="00595289"/>
    <w:rsid w:val="00597157"/>
    <w:rsid w:val="005A01D1"/>
    <w:rsid w:val="005B0559"/>
    <w:rsid w:val="005C18D1"/>
    <w:rsid w:val="005E42F4"/>
    <w:rsid w:val="005E4528"/>
    <w:rsid w:val="005F61D2"/>
    <w:rsid w:val="00602377"/>
    <w:rsid w:val="00612B44"/>
    <w:rsid w:val="00612C29"/>
    <w:rsid w:val="006470C9"/>
    <w:rsid w:val="00654C70"/>
    <w:rsid w:val="00657E30"/>
    <w:rsid w:val="0068019C"/>
    <w:rsid w:val="00690D1C"/>
    <w:rsid w:val="00691191"/>
    <w:rsid w:val="00693CDD"/>
    <w:rsid w:val="006A2393"/>
    <w:rsid w:val="006A67B6"/>
    <w:rsid w:val="006C13D0"/>
    <w:rsid w:val="006D03D5"/>
    <w:rsid w:val="006F0209"/>
    <w:rsid w:val="00701777"/>
    <w:rsid w:val="00734F98"/>
    <w:rsid w:val="00744D5A"/>
    <w:rsid w:val="007470B7"/>
    <w:rsid w:val="00747E1E"/>
    <w:rsid w:val="0077789A"/>
    <w:rsid w:val="007809D9"/>
    <w:rsid w:val="007867D1"/>
    <w:rsid w:val="00787B20"/>
    <w:rsid w:val="0079042C"/>
    <w:rsid w:val="0079310E"/>
    <w:rsid w:val="00795075"/>
    <w:rsid w:val="00797CE2"/>
    <w:rsid w:val="007A2281"/>
    <w:rsid w:val="007A6F87"/>
    <w:rsid w:val="007B411C"/>
    <w:rsid w:val="007B4981"/>
    <w:rsid w:val="007C3A9C"/>
    <w:rsid w:val="007C71E3"/>
    <w:rsid w:val="007D1E07"/>
    <w:rsid w:val="007D2D28"/>
    <w:rsid w:val="00800621"/>
    <w:rsid w:val="0080338F"/>
    <w:rsid w:val="00807562"/>
    <w:rsid w:val="00811537"/>
    <w:rsid w:val="00827BF7"/>
    <w:rsid w:val="00845341"/>
    <w:rsid w:val="008513C3"/>
    <w:rsid w:val="0085181C"/>
    <w:rsid w:val="00853E1A"/>
    <w:rsid w:val="0085506D"/>
    <w:rsid w:val="00857C14"/>
    <w:rsid w:val="008806A8"/>
    <w:rsid w:val="008A0763"/>
    <w:rsid w:val="008A1951"/>
    <w:rsid w:val="008B6F92"/>
    <w:rsid w:val="008C4453"/>
    <w:rsid w:val="008C7C62"/>
    <w:rsid w:val="008D4998"/>
    <w:rsid w:val="008E0B9C"/>
    <w:rsid w:val="008E5504"/>
    <w:rsid w:val="008E6021"/>
    <w:rsid w:val="008F1937"/>
    <w:rsid w:val="00904D7F"/>
    <w:rsid w:val="009050AA"/>
    <w:rsid w:val="00906B04"/>
    <w:rsid w:val="009129AB"/>
    <w:rsid w:val="00914925"/>
    <w:rsid w:val="0092523F"/>
    <w:rsid w:val="00930A55"/>
    <w:rsid w:val="00931410"/>
    <w:rsid w:val="009361BF"/>
    <w:rsid w:val="00941F5E"/>
    <w:rsid w:val="00946626"/>
    <w:rsid w:val="0095042C"/>
    <w:rsid w:val="00952C50"/>
    <w:rsid w:val="00956568"/>
    <w:rsid w:val="00957A88"/>
    <w:rsid w:val="0096790F"/>
    <w:rsid w:val="00967BBF"/>
    <w:rsid w:val="009714DA"/>
    <w:rsid w:val="0097614F"/>
    <w:rsid w:val="00981066"/>
    <w:rsid w:val="00981556"/>
    <w:rsid w:val="0098329F"/>
    <w:rsid w:val="0098503B"/>
    <w:rsid w:val="00986EBB"/>
    <w:rsid w:val="00991960"/>
    <w:rsid w:val="009A677A"/>
    <w:rsid w:val="009B3F82"/>
    <w:rsid w:val="009C5DB6"/>
    <w:rsid w:val="009E0AFB"/>
    <w:rsid w:val="009E5292"/>
    <w:rsid w:val="009F433B"/>
    <w:rsid w:val="009F655A"/>
    <w:rsid w:val="009F6B05"/>
    <w:rsid w:val="009F7368"/>
    <w:rsid w:val="00A01A97"/>
    <w:rsid w:val="00A02AB0"/>
    <w:rsid w:val="00A1431D"/>
    <w:rsid w:val="00A212E6"/>
    <w:rsid w:val="00A21C0C"/>
    <w:rsid w:val="00A308AF"/>
    <w:rsid w:val="00A36AD3"/>
    <w:rsid w:val="00A572BC"/>
    <w:rsid w:val="00A60240"/>
    <w:rsid w:val="00A631B3"/>
    <w:rsid w:val="00A63D18"/>
    <w:rsid w:val="00A64202"/>
    <w:rsid w:val="00A71010"/>
    <w:rsid w:val="00A71ABC"/>
    <w:rsid w:val="00A86407"/>
    <w:rsid w:val="00A92E1F"/>
    <w:rsid w:val="00A9654A"/>
    <w:rsid w:val="00AA71B4"/>
    <w:rsid w:val="00AB022A"/>
    <w:rsid w:val="00AB26F3"/>
    <w:rsid w:val="00AC4A9C"/>
    <w:rsid w:val="00AD0C26"/>
    <w:rsid w:val="00AD1B4C"/>
    <w:rsid w:val="00AE12B4"/>
    <w:rsid w:val="00AF283A"/>
    <w:rsid w:val="00AF395A"/>
    <w:rsid w:val="00AF3AA0"/>
    <w:rsid w:val="00B07ABE"/>
    <w:rsid w:val="00B143B2"/>
    <w:rsid w:val="00B34375"/>
    <w:rsid w:val="00B36DF5"/>
    <w:rsid w:val="00B47CBE"/>
    <w:rsid w:val="00B559F5"/>
    <w:rsid w:val="00B60FEF"/>
    <w:rsid w:val="00B62DC2"/>
    <w:rsid w:val="00B644BC"/>
    <w:rsid w:val="00B96330"/>
    <w:rsid w:val="00BA534B"/>
    <w:rsid w:val="00BB63B9"/>
    <w:rsid w:val="00BB7D9F"/>
    <w:rsid w:val="00BC0662"/>
    <w:rsid w:val="00BC253E"/>
    <w:rsid w:val="00BC6E6D"/>
    <w:rsid w:val="00BD2118"/>
    <w:rsid w:val="00BF0B6E"/>
    <w:rsid w:val="00BF54B3"/>
    <w:rsid w:val="00BF5996"/>
    <w:rsid w:val="00C23444"/>
    <w:rsid w:val="00C30C04"/>
    <w:rsid w:val="00C31FCD"/>
    <w:rsid w:val="00C33570"/>
    <w:rsid w:val="00C3650A"/>
    <w:rsid w:val="00C547B3"/>
    <w:rsid w:val="00C56846"/>
    <w:rsid w:val="00C74545"/>
    <w:rsid w:val="00C97397"/>
    <w:rsid w:val="00C97C05"/>
    <w:rsid w:val="00CB74D7"/>
    <w:rsid w:val="00CC5A9D"/>
    <w:rsid w:val="00CD0D56"/>
    <w:rsid w:val="00CE2BF2"/>
    <w:rsid w:val="00CE6DE1"/>
    <w:rsid w:val="00CF1596"/>
    <w:rsid w:val="00CF541B"/>
    <w:rsid w:val="00CF6B22"/>
    <w:rsid w:val="00CF7302"/>
    <w:rsid w:val="00D02CDB"/>
    <w:rsid w:val="00D100C4"/>
    <w:rsid w:val="00D10D98"/>
    <w:rsid w:val="00D1173E"/>
    <w:rsid w:val="00D23C8B"/>
    <w:rsid w:val="00D23E5D"/>
    <w:rsid w:val="00D45FB6"/>
    <w:rsid w:val="00D52BCF"/>
    <w:rsid w:val="00D53208"/>
    <w:rsid w:val="00D73C4E"/>
    <w:rsid w:val="00D820A3"/>
    <w:rsid w:val="00D820E7"/>
    <w:rsid w:val="00D87140"/>
    <w:rsid w:val="00D90062"/>
    <w:rsid w:val="00D909D5"/>
    <w:rsid w:val="00D929A8"/>
    <w:rsid w:val="00DA37F8"/>
    <w:rsid w:val="00DB0399"/>
    <w:rsid w:val="00DB521A"/>
    <w:rsid w:val="00DB7665"/>
    <w:rsid w:val="00DC502F"/>
    <w:rsid w:val="00DD6DBE"/>
    <w:rsid w:val="00DE111F"/>
    <w:rsid w:val="00E35C68"/>
    <w:rsid w:val="00E41B0C"/>
    <w:rsid w:val="00E46870"/>
    <w:rsid w:val="00E51D27"/>
    <w:rsid w:val="00E52409"/>
    <w:rsid w:val="00E530A6"/>
    <w:rsid w:val="00E7291F"/>
    <w:rsid w:val="00E80A3D"/>
    <w:rsid w:val="00E829B3"/>
    <w:rsid w:val="00E8426F"/>
    <w:rsid w:val="00E92F62"/>
    <w:rsid w:val="00EA0732"/>
    <w:rsid w:val="00EA0ADF"/>
    <w:rsid w:val="00EA1D84"/>
    <w:rsid w:val="00EA4384"/>
    <w:rsid w:val="00EB2A2E"/>
    <w:rsid w:val="00EB3516"/>
    <w:rsid w:val="00EB4952"/>
    <w:rsid w:val="00EB735A"/>
    <w:rsid w:val="00EC2DED"/>
    <w:rsid w:val="00ED020D"/>
    <w:rsid w:val="00ED0726"/>
    <w:rsid w:val="00EE197A"/>
    <w:rsid w:val="00EE21C1"/>
    <w:rsid w:val="00F005BD"/>
    <w:rsid w:val="00F01011"/>
    <w:rsid w:val="00F02908"/>
    <w:rsid w:val="00F11B42"/>
    <w:rsid w:val="00F177D0"/>
    <w:rsid w:val="00F17C36"/>
    <w:rsid w:val="00F23C03"/>
    <w:rsid w:val="00F25074"/>
    <w:rsid w:val="00F54C17"/>
    <w:rsid w:val="00F748E8"/>
    <w:rsid w:val="00F75D4D"/>
    <w:rsid w:val="00F86AEB"/>
    <w:rsid w:val="00FA0624"/>
    <w:rsid w:val="00FA6E46"/>
    <w:rsid w:val="00FA75B3"/>
    <w:rsid w:val="00FC09EC"/>
    <w:rsid w:val="00FC5D0B"/>
    <w:rsid w:val="00FD4D93"/>
    <w:rsid w:val="00FE40CE"/>
    <w:rsid w:val="00FE71EA"/>
    <w:rsid w:val="00FE76D3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A2D28"/>
  <w15:docId w15:val="{EEB53BF0-1B81-4021-B315-EAE9FAAC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nhideWhenUsed="1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Title" w:uiPriority="10" w:qFormat="1"/>
    <w:lsdException w:name="Default Paragraph Font" w:semiHidden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568"/>
  </w:style>
  <w:style w:type="paragraph" w:styleId="Heading1">
    <w:name w:val="heading 1"/>
    <w:basedOn w:val="Normal"/>
    <w:next w:val="Normal"/>
    <w:link w:val="Heading1Char"/>
    <w:uiPriority w:val="9"/>
    <w:qFormat/>
    <w:rsid w:val="00956568"/>
    <w:pPr>
      <w:keepNext/>
      <w:keepLines/>
      <w:numPr>
        <w:numId w:val="1"/>
      </w:numPr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568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68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6568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6568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Theme="majorEastAsia" w:hAnsi="Cambria" w:cstheme="majorBidi"/>
      <w:color w:val="16505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6568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Theme="majorEastAsia" w:hAnsi="Cambria" w:cstheme="majorBidi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656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656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656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56568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956568"/>
    <w:rPr>
      <w:rFonts w:ascii="Cambria" w:eastAsiaTheme="majorEastAsia" w:hAnsi="Cambria" w:cstheme="majorBidi"/>
      <w:b/>
      <w:bCs/>
      <w:color w:val="2DA2BF"/>
    </w:rPr>
  </w:style>
  <w:style w:type="character" w:customStyle="1" w:styleId="Heading1Char">
    <w:name w:val="Heading 1 Char"/>
    <w:link w:val="Heading1"/>
    <w:uiPriority w:val="9"/>
    <w:rsid w:val="00956568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Heading4Char">
    <w:name w:val="Heading 4 Char"/>
    <w:link w:val="Heading4"/>
    <w:uiPriority w:val="9"/>
    <w:rsid w:val="00956568"/>
    <w:rPr>
      <w:rFonts w:ascii="Cambria" w:eastAsiaTheme="majorEastAsia" w:hAnsi="Cambria" w:cstheme="majorBidi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rsid w:val="00956568"/>
    <w:rPr>
      <w:rFonts w:ascii="Cambria" w:eastAsiaTheme="majorEastAsia" w:hAnsi="Cambria" w:cstheme="majorBidi"/>
      <w:color w:val="16505E"/>
    </w:rPr>
  </w:style>
  <w:style w:type="character" w:customStyle="1" w:styleId="Heading6Char">
    <w:name w:val="Heading 6 Char"/>
    <w:link w:val="Heading6"/>
    <w:uiPriority w:val="9"/>
    <w:rsid w:val="00956568"/>
    <w:rPr>
      <w:rFonts w:ascii="Cambria" w:eastAsiaTheme="majorEastAsia" w:hAnsi="Cambria" w:cstheme="majorBidi"/>
      <w:i/>
      <w:iCs/>
      <w:color w:val="16505E"/>
    </w:rPr>
  </w:style>
  <w:style w:type="character" w:customStyle="1" w:styleId="Heading7Char">
    <w:name w:val="Heading 7 Char"/>
    <w:link w:val="Heading7"/>
    <w:uiPriority w:val="9"/>
    <w:rsid w:val="00956568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956568"/>
    <w:rPr>
      <w:rFonts w:ascii="Cambria" w:eastAsiaTheme="majorEastAsia" w:hAnsi="Cambria" w:cstheme="majorBidi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rsid w:val="00956568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TOC1">
    <w:name w:val="toc 1"/>
    <w:basedOn w:val="Normal"/>
    <w:next w:val="Normal"/>
    <w:semiHidden/>
    <w:rsid w:val="009E5292"/>
    <w:pPr>
      <w:tabs>
        <w:tab w:val="left" w:pos="9000"/>
        <w:tab w:val="right" w:pos="9360"/>
      </w:tabs>
      <w:suppressAutoHyphens/>
    </w:pPr>
    <w:rPr>
      <w:rFonts w:ascii="Arial" w:hAnsi="Arial"/>
      <w:b/>
      <w:color w:val="FF0000"/>
      <w:lang w:val="en-US"/>
    </w:rPr>
  </w:style>
  <w:style w:type="paragraph" w:styleId="Header">
    <w:name w:val="header"/>
    <w:basedOn w:val="Normal"/>
    <w:link w:val="HeaderChar"/>
    <w:rsid w:val="009E52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E5292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9E52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E5292"/>
    <w:rPr>
      <w:rFonts w:asciiTheme="minorHAnsi" w:eastAsiaTheme="minorEastAsia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6568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6568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56568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568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6568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Hyperlink">
    <w:name w:val="Hyperlink"/>
    <w:basedOn w:val="DefaultParagraphFont"/>
    <w:rsid w:val="009E5292"/>
    <w:rPr>
      <w:color w:val="0000FF"/>
      <w:u w:val="single"/>
    </w:rPr>
  </w:style>
  <w:style w:type="character" w:styleId="Strong">
    <w:name w:val="Strong"/>
    <w:uiPriority w:val="22"/>
    <w:qFormat/>
    <w:rsid w:val="00956568"/>
    <w:rPr>
      <w:b/>
      <w:bCs/>
    </w:rPr>
  </w:style>
  <w:style w:type="character" w:styleId="Emphasis">
    <w:name w:val="Emphasis"/>
    <w:uiPriority w:val="20"/>
    <w:qFormat/>
    <w:rsid w:val="00956568"/>
    <w:rPr>
      <w:i/>
      <w:iCs/>
    </w:rPr>
  </w:style>
  <w:style w:type="paragraph" w:styleId="NoSpacing">
    <w:name w:val="No Spacing"/>
    <w:uiPriority w:val="1"/>
    <w:qFormat/>
    <w:rsid w:val="009565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65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656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5656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56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956568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956568"/>
    <w:rPr>
      <w:i/>
      <w:iCs/>
      <w:color w:val="808080"/>
    </w:rPr>
  </w:style>
  <w:style w:type="character" w:styleId="IntenseEmphasis">
    <w:name w:val="Intense Emphasis"/>
    <w:uiPriority w:val="21"/>
    <w:qFormat/>
    <w:rsid w:val="00956568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956568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956568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9565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56568"/>
    <w:pPr>
      <w:outlineLvl w:val="9"/>
    </w:pPr>
  </w:style>
  <w:style w:type="character" w:styleId="CommentReference">
    <w:name w:val="annotation reference"/>
    <w:basedOn w:val="DefaultParagraphFont"/>
    <w:rsid w:val="00E92F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2F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2F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92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F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E9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2F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0399"/>
    <w:pPr>
      <w:spacing w:after="0" w:line="273" w:lineRule="auto"/>
    </w:pPr>
    <w:rPr>
      <w:rFonts w:ascii="Cambria" w:eastAsia="Times New Roman" w:hAnsi="Cambria" w:cs="Times New Roman"/>
      <w:color w:val="000000"/>
      <w:kern w:val="28"/>
      <w:sz w:val="24"/>
      <w:szCs w:val="24"/>
      <w:lang w:val="en-IE" w:eastAsia="en-IE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C31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urray@ntd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elvaney2021@gmail.com" TargetMode="External"/><Relationship Id="rId5" Type="http://schemas.openxmlformats.org/officeDocument/2006/relationships/hyperlink" Target="mailto:mmurray@ntdc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Aid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Tiernan</dc:creator>
  <cp:lastModifiedBy>Michael Murray</cp:lastModifiedBy>
  <cp:revision>11</cp:revision>
  <cp:lastPrinted>2013-03-14T10:03:00Z</cp:lastPrinted>
  <dcterms:created xsi:type="dcterms:W3CDTF">2025-07-29T14:14:00Z</dcterms:created>
  <dcterms:modified xsi:type="dcterms:W3CDTF">2025-07-29T14:26:00Z</dcterms:modified>
</cp:coreProperties>
</file>