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8246" w14:textId="63A7EE38" w:rsidR="00E476D4" w:rsidRPr="00936327" w:rsidRDefault="002E1C4E" w:rsidP="00E476D4">
      <w:pPr>
        <w:pStyle w:val="Title"/>
        <w:rPr>
          <w:sz w:val="64"/>
          <w:szCs w:val="64"/>
        </w:rPr>
      </w:pPr>
      <w:r>
        <w:rPr>
          <w:sz w:val="64"/>
          <w:szCs w:val="64"/>
        </w:rPr>
        <w:t>Well-being</w:t>
      </w:r>
      <w:r w:rsidR="00E476D4" w:rsidRPr="00936327">
        <w:rPr>
          <w:sz w:val="64"/>
          <w:szCs w:val="64"/>
        </w:rPr>
        <w:t xml:space="preserve"> Worker Role Framework</w:t>
      </w:r>
    </w:p>
    <w:p w14:paraId="600A3440" w14:textId="77777777" w:rsidR="00355429" w:rsidRPr="00355429" w:rsidRDefault="00355429" w:rsidP="00355429">
      <w:pPr>
        <w:rPr>
          <w:sz w:val="14"/>
          <w:szCs w:val="14"/>
        </w:rPr>
      </w:pPr>
    </w:p>
    <w:p w14:paraId="525E2E7A" w14:textId="77777777" w:rsidR="00E476D4" w:rsidRPr="00E476D4" w:rsidRDefault="00E476D4" w:rsidP="00355429">
      <w:pPr>
        <w:pStyle w:val="Heading1"/>
      </w:pPr>
      <w:r w:rsidRPr="00E476D4">
        <w:t>1. Purpose of the Role</w:t>
      </w:r>
    </w:p>
    <w:p w14:paraId="704F330E" w14:textId="77777777" w:rsidR="00936327" w:rsidRPr="00936327" w:rsidRDefault="00936327" w:rsidP="00E476D4">
      <w:pPr>
        <w:spacing w:line="278" w:lineRule="auto"/>
        <w:rPr>
          <w:sz w:val="12"/>
          <w:szCs w:val="12"/>
        </w:rPr>
      </w:pPr>
    </w:p>
    <w:p w14:paraId="7836ACAC" w14:textId="6827175C" w:rsidR="00E476D4" w:rsidRPr="00E476D4" w:rsidRDefault="00E476D4" w:rsidP="00E476D4">
      <w:pPr>
        <w:spacing w:line="278" w:lineRule="auto"/>
      </w:pPr>
      <w:r w:rsidRPr="00E476D4">
        <w:t xml:space="preserve">The </w:t>
      </w:r>
      <w:r w:rsidR="002E1C4E">
        <w:t>Well-being</w:t>
      </w:r>
      <w:r w:rsidRPr="00E476D4">
        <w:t xml:space="preserve"> Worker (WW) role is designed to provide therapeutic and emotional support to young people facing challenges related to mental health, substance use, trauma, and life circumstances. The role bridges a critical gap between overstretched clinical services and youth work practice by embedding a therapeutic presence directly within youth services. It offers a flexible, stigma-free, and youth-friendly model of support grounded in both professional therapeutic training and youth work values.</w:t>
      </w:r>
    </w:p>
    <w:p w14:paraId="721FFE15" w14:textId="4CF323DB" w:rsidR="00355429" w:rsidRPr="00E476D4" w:rsidRDefault="00E476D4" w:rsidP="00E476D4">
      <w:pPr>
        <w:spacing w:line="278" w:lineRule="auto"/>
      </w:pPr>
      <w:r w:rsidRPr="00E476D4">
        <w:t>This framework supports services to implement the role in a way that protects the integrity of the model while allowing for local adaptation.</w:t>
      </w:r>
    </w:p>
    <w:p w14:paraId="1CE2F136" w14:textId="072208CD" w:rsidR="00E476D4" w:rsidRPr="00E476D4" w:rsidRDefault="00E476D4" w:rsidP="00E476D4">
      <w:pPr>
        <w:spacing w:line="278" w:lineRule="auto"/>
        <w:rPr>
          <w:sz w:val="4"/>
          <w:szCs w:val="4"/>
        </w:rPr>
      </w:pPr>
    </w:p>
    <w:p w14:paraId="494C6F3F" w14:textId="77777777" w:rsidR="00E476D4" w:rsidRPr="00E476D4" w:rsidRDefault="00E476D4" w:rsidP="00355429">
      <w:pPr>
        <w:pStyle w:val="Heading1"/>
      </w:pPr>
      <w:r w:rsidRPr="00E476D4">
        <w:t>2. Core Principles</w:t>
      </w:r>
    </w:p>
    <w:p w14:paraId="609EAE86" w14:textId="77777777" w:rsidR="00936327" w:rsidRPr="00936327" w:rsidRDefault="00936327" w:rsidP="00E476D4">
      <w:pPr>
        <w:spacing w:line="278" w:lineRule="auto"/>
        <w:rPr>
          <w:sz w:val="12"/>
          <w:szCs w:val="12"/>
        </w:rPr>
      </w:pPr>
    </w:p>
    <w:p w14:paraId="49D56D0D" w14:textId="3728B967" w:rsidR="00E476D4" w:rsidRPr="00E476D4" w:rsidRDefault="00E476D4" w:rsidP="00E476D4">
      <w:pPr>
        <w:spacing w:line="278" w:lineRule="auto"/>
      </w:pPr>
      <w:r w:rsidRPr="00E476D4">
        <w:t xml:space="preserve">The </w:t>
      </w:r>
      <w:r w:rsidR="002E1C4E">
        <w:t>Well-being</w:t>
      </w:r>
      <w:r w:rsidRPr="00E476D4">
        <w:t xml:space="preserve"> Worker role must be grounded in the following values:</w:t>
      </w:r>
    </w:p>
    <w:p w14:paraId="1BC5785F" w14:textId="77777777" w:rsidR="00E476D4" w:rsidRPr="00E476D4" w:rsidRDefault="00E476D4" w:rsidP="00E476D4">
      <w:pPr>
        <w:numPr>
          <w:ilvl w:val="0"/>
          <w:numId w:val="8"/>
        </w:numPr>
        <w:spacing w:line="278" w:lineRule="auto"/>
      </w:pPr>
      <w:r w:rsidRPr="00E476D4">
        <w:rPr>
          <w:b/>
          <w:bCs/>
        </w:rPr>
        <w:t>Youth Work Ethos:</w:t>
      </w:r>
      <w:r w:rsidRPr="00E476D4">
        <w:t xml:space="preserve"> Voluntary engagement, empowerment, participation, and respect for young people’s agency</w:t>
      </w:r>
    </w:p>
    <w:p w14:paraId="01A79687" w14:textId="77777777" w:rsidR="00E476D4" w:rsidRPr="00E476D4" w:rsidRDefault="00E476D4" w:rsidP="00E476D4">
      <w:pPr>
        <w:numPr>
          <w:ilvl w:val="0"/>
          <w:numId w:val="8"/>
        </w:numPr>
        <w:spacing w:line="278" w:lineRule="auto"/>
      </w:pPr>
      <w:r w:rsidRPr="00E476D4">
        <w:rPr>
          <w:b/>
          <w:bCs/>
        </w:rPr>
        <w:t>Trauma-Informed Practice:</w:t>
      </w:r>
      <w:r w:rsidRPr="00E476D4">
        <w:t xml:space="preserve"> Safety, trust, collaboration, choice, and empowerment</w:t>
      </w:r>
    </w:p>
    <w:p w14:paraId="15466D7F" w14:textId="77777777" w:rsidR="00E476D4" w:rsidRPr="00E476D4" w:rsidRDefault="00E476D4" w:rsidP="00E476D4">
      <w:pPr>
        <w:numPr>
          <w:ilvl w:val="0"/>
          <w:numId w:val="8"/>
        </w:numPr>
        <w:spacing w:line="278" w:lineRule="auto"/>
      </w:pPr>
      <w:r w:rsidRPr="00E476D4">
        <w:rPr>
          <w:b/>
          <w:bCs/>
        </w:rPr>
        <w:t>Relational Approach:</w:t>
      </w:r>
      <w:r w:rsidRPr="00E476D4">
        <w:t xml:space="preserve"> Deep, trust-based relationships are foundational to therapeutic engagement</w:t>
      </w:r>
    </w:p>
    <w:p w14:paraId="49E35A4F" w14:textId="77777777" w:rsidR="00E476D4" w:rsidRPr="00E476D4" w:rsidRDefault="00E476D4" w:rsidP="00E476D4">
      <w:pPr>
        <w:numPr>
          <w:ilvl w:val="0"/>
          <w:numId w:val="8"/>
        </w:numPr>
        <w:spacing w:line="278" w:lineRule="auto"/>
      </w:pPr>
      <w:r w:rsidRPr="00E476D4">
        <w:rPr>
          <w:b/>
          <w:bCs/>
        </w:rPr>
        <w:t>Accessibility:</w:t>
      </w:r>
      <w:r w:rsidRPr="00E476D4">
        <w:t xml:space="preserve"> Support offered in familiar, youth-led settings to reduce stigma and barriers</w:t>
      </w:r>
    </w:p>
    <w:p w14:paraId="320C5E62" w14:textId="77777777" w:rsidR="00E476D4" w:rsidRPr="00E476D4" w:rsidRDefault="00E476D4" w:rsidP="00E476D4">
      <w:pPr>
        <w:numPr>
          <w:ilvl w:val="0"/>
          <w:numId w:val="8"/>
        </w:numPr>
        <w:spacing w:line="278" w:lineRule="auto"/>
      </w:pPr>
      <w:r w:rsidRPr="00E476D4">
        <w:rPr>
          <w:b/>
          <w:bCs/>
        </w:rPr>
        <w:t>Flexibility:</w:t>
      </w:r>
      <w:r w:rsidRPr="00E476D4">
        <w:t xml:space="preserve"> Responsive to young people’s needs, pace, and readiness to engage</w:t>
      </w:r>
    </w:p>
    <w:p w14:paraId="1F8D90F2" w14:textId="77777777" w:rsidR="00E476D4" w:rsidRPr="00E476D4" w:rsidRDefault="00E476D4" w:rsidP="00E476D4">
      <w:pPr>
        <w:numPr>
          <w:ilvl w:val="0"/>
          <w:numId w:val="8"/>
        </w:numPr>
        <w:spacing w:line="278" w:lineRule="auto"/>
      </w:pPr>
      <w:r w:rsidRPr="00E476D4">
        <w:rPr>
          <w:b/>
          <w:bCs/>
        </w:rPr>
        <w:t>Embeddedness:</w:t>
      </w:r>
      <w:r w:rsidRPr="00E476D4">
        <w:t xml:space="preserve"> Integrated within youth services rather than external or stand-alone</w:t>
      </w:r>
    </w:p>
    <w:p w14:paraId="14FE685C" w14:textId="77777777" w:rsidR="00E476D4" w:rsidRDefault="00E476D4" w:rsidP="00E476D4">
      <w:pPr>
        <w:numPr>
          <w:ilvl w:val="0"/>
          <w:numId w:val="8"/>
        </w:numPr>
        <w:spacing w:line="278" w:lineRule="auto"/>
      </w:pPr>
      <w:r w:rsidRPr="00E476D4">
        <w:rPr>
          <w:b/>
          <w:bCs/>
        </w:rPr>
        <w:t>Distinct but Complementary:</w:t>
      </w:r>
      <w:r w:rsidRPr="00E476D4">
        <w:t xml:space="preserve"> Provides therapeutic input while working alongside, not replacing, youth workers</w:t>
      </w:r>
    </w:p>
    <w:p w14:paraId="42F2441D" w14:textId="5A42BDAF" w:rsidR="00E476D4" w:rsidRPr="00F543C9" w:rsidRDefault="00E476D4" w:rsidP="00E476D4">
      <w:pPr>
        <w:spacing w:line="278" w:lineRule="auto"/>
      </w:pPr>
      <w:r w:rsidRPr="00F543C9">
        <w:rPr>
          <w:b/>
          <w:bCs/>
        </w:rPr>
        <w:t>Minimum Requirements</w:t>
      </w:r>
      <w:r w:rsidR="00AC02BA" w:rsidRPr="00F543C9">
        <w:rPr>
          <w:b/>
          <w:bCs/>
        </w:rPr>
        <w:t xml:space="preserve"> and Essential Attributes</w:t>
      </w:r>
      <w:r w:rsidR="00F543C9" w:rsidRPr="00F543C9">
        <w:rPr>
          <w:b/>
          <w:bCs/>
        </w:rPr>
        <w:t xml:space="preserve"> for the Worker</w:t>
      </w:r>
    </w:p>
    <w:p w14:paraId="1204CFA7" w14:textId="77777777" w:rsidR="00F543C9" w:rsidRPr="00F543C9" w:rsidRDefault="00F543C9" w:rsidP="00F543C9">
      <w:pPr>
        <w:numPr>
          <w:ilvl w:val="0"/>
          <w:numId w:val="9"/>
        </w:numPr>
        <w:tabs>
          <w:tab w:val="clear" w:pos="720"/>
        </w:tabs>
        <w:spacing w:before="120" w:after="0" w:line="278" w:lineRule="auto"/>
        <w:ind w:left="426" w:hanging="357"/>
        <w:rPr>
          <w:rFonts w:cs="Arial"/>
          <w:color w:val="000000" w:themeColor="text1"/>
        </w:rPr>
      </w:pPr>
      <w:r w:rsidRPr="00F543C9">
        <w:rPr>
          <w:rFonts w:cs="Arial"/>
        </w:rPr>
        <w:t xml:space="preserve">Level 8 qualification in a therapeutic discipline (e.g., counselling, </w:t>
      </w:r>
      <w:r w:rsidRPr="00F543C9">
        <w:rPr>
          <w:rFonts w:cs="Arial"/>
          <w:color w:val="000000" w:themeColor="text1"/>
        </w:rPr>
        <w:t>addiction counselling, psychotherapy, psychology, mental health nursing)</w:t>
      </w:r>
    </w:p>
    <w:p w14:paraId="5D9EEECA" w14:textId="77777777" w:rsidR="00F543C9" w:rsidRPr="00F543C9" w:rsidRDefault="00F543C9" w:rsidP="00F543C9">
      <w:pPr>
        <w:numPr>
          <w:ilvl w:val="0"/>
          <w:numId w:val="9"/>
        </w:numPr>
        <w:tabs>
          <w:tab w:val="clear" w:pos="720"/>
        </w:tabs>
        <w:spacing w:before="120" w:after="0" w:line="278" w:lineRule="auto"/>
        <w:ind w:left="426" w:hanging="357"/>
        <w:rPr>
          <w:rFonts w:cs="Arial"/>
        </w:rPr>
      </w:pPr>
      <w:r w:rsidRPr="00F543C9">
        <w:rPr>
          <w:rFonts w:cs="Arial"/>
        </w:rPr>
        <w:t xml:space="preserve">At least two years’ experience working therapeutically with young </w:t>
      </w:r>
      <w:proofErr w:type="gramStart"/>
      <w:r w:rsidRPr="00F543C9">
        <w:rPr>
          <w:rFonts w:cs="Arial"/>
        </w:rPr>
        <w:t>people ,</w:t>
      </w:r>
      <w:proofErr w:type="gramEnd"/>
      <w:r w:rsidRPr="00F543C9">
        <w:rPr>
          <w:rFonts w:cs="Arial"/>
        </w:rPr>
        <w:t xml:space="preserve"> preferably in a youth work or community setting</w:t>
      </w:r>
    </w:p>
    <w:p w14:paraId="353BB345" w14:textId="77777777" w:rsidR="00F543C9" w:rsidRPr="00F543C9" w:rsidRDefault="00F543C9" w:rsidP="00F543C9">
      <w:pPr>
        <w:numPr>
          <w:ilvl w:val="0"/>
          <w:numId w:val="9"/>
        </w:numPr>
        <w:tabs>
          <w:tab w:val="clear" w:pos="720"/>
        </w:tabs>
        <w:spacing w:before="120" w:after="0" w:line="278" w:lineRule="auto"/>
        <w:ind w:left="426" w:hanging="357"/>
        <w:rPr>
          <w:rFonts w:cs="Arial"/>
        </w:rPr>
      </w:pPr>
      <w:r w:rsidRPr="00F543C9">
        <w:rPr>
          <w:rFonts w:cs="Arial"/>
        </w:rPr>
        <w:lastRenderedPageBreak/>
        <w:t>Demonstrated ability to work with young people from marginalised or trauma-affected backgrounds</w:t>
      </w:r>
    </w:p>
    <w:p w14:paraId="4E592985" w14:textId="77777777" w:rsidR="00F543C9" w:rsidRPr="00F543C9" w:rsidRDefault="00F543C9" w:rsidP="00F543C9">
      <w:pPr>
        <w:numPr>
          <w:ilvl w:val="0"/>
          <w:numId w:val="9"/>
        </w:numPr>
        <w:tabs>
          <w:tab w:val="clear" w:pos="720"/>
        </w:tabs>
        <w:spacing w:before="120" w:after="0" w:line="278" w:lineRule="auto"/>
        <w:ind w:left="426" w:hanging="357"/>
        <w:rPr>
          <w:rFonts w:cs="Arial"/>
        </w:rPr>
      </w:pPr>
      <w:r w:rsidRPr="00F543C9">
        <w:rPr>
          <w:rFonts w:cs="Arial"/>
        </w:rPr>
        <w:t>Good knowledge of issues related to addiction, substance misuse and mental health</w:t>
      </w:r>
    </w:p>
    <w:p w14:paraId="4D9AA9C8" w14:textId="77777777" w:rsidR="00F543C9" w:rsidRPr="00F543C9" w:rsidRDefault="00F543C9" w:rsidP="00F543C9">
      <w:pPr>
        <w:numPr>
          <w:ilvl w:val="0"/>
          <w:numId w:val="10"/>
        </w:numPr>
        <w:tabs>
          <w:tab w:val="clear" w:pos="720"/>
        </w:tabs>
        <w:spacing w:before="120" w:after="0" w:line="278" w:lineRule="auto"/>
        <w:ind w:left="426" w:hanging="357"/>
        <w:rPr>
          <w:rFonts w:cs="Arial"/>
        </w:rPr>
      </w:pPr>
      <w:r w:rsidRPr="00F543C9">
        <w:rPr>
          <w:rFonts w:cs="Arial"/>
        </w:rPr>
        <w:t>Strong inter-personal and relational skills (e.g., empathy, emotional intelligence, active listening)</w:t>
      </w:r>
    </w:p>
    <w:p w14:paraId="41704F06" w14:textId="77777777" w:rsidR="00F543C9" w:rsidRPr="00F543C9" w:rsidRDefault="00F543C9" w:rsidP="00F543C9">
      <w:pPr>
        <w:numPr>
          <w:ilvl w:val="0"/>
          <w:numId w:val="10"/>
        </w:numPr>
        <w:tabs>
          <w:tab w:val="clear" w:pos="720"/>
        </w:tabs>
        <w:spacing w:before="120" w:after="0" w:line="278" w:lineRule="auto"/>
        <w:ind w:left="426" w:hanging="357"/>
        <w:rPr>
          <w:rFonts w:cs="Arial"/>
        </w:rPr>
      </w:pPr>
      <w:r w:rsidRPr="00F543C9">
        <w:rPr>
          <w:rFonts w:cs="Arial"/>
        </w:rPr>
        <w:t>Ability to build trust quickly and work without judgment</w:t>
      </w:r>
    </w:p>
    <w:p w14:paraId="0C946C34" w14:textId="77777777" w:rsidR="00F543C9" w:rsidRPr="00F543C9" w:rsidRDefault="00F543C9" w:rsidP="00F543C9">
      <w:pPr>
        <w:numPr>
          <w:ilvl w:val="0"/>
          <w:numId w:val="10"/>
        </w:numPr>
        <w:tabs>
          <w:tab w:val="clear" w:pos="720"/>
        </w:tabs>
        <w:spacing w:before="120" w:after="0" w:line="278" w:lineRule="auto"/>
        <w:ind w:left="426" w:hanging="357"/>
        <w:rPr>
          <w:rFonts w:cs="Arial"/>
        </w:rPr>
      </w:pPr>
      <w:r w:rsidRPr="00F543C9">
        <w:rPr>
          <w:rFonts w:cs="Arial"/>
        </w:rPr>
        <w:t>Understanding of and alignment with youth work principles</w:t>
      </w:r>
    </w:p>
    <w:p w14:paraId="3507C442" w14:textId="77777777" w:rsidR="00F543C9" w:rsidRPr="00F543C9" w:rsidRDefault="00F543C9" w:rsidP="00F543C9">
      <w:pPr>
        <w:numPr>
          <w:ilvl w:val="0"/>
          <w:numId w:val="10"/>
        </w:numPr>
        <w:tabs>
          <w:tab w:val="clear" w:pos="720"/>
        </w:tabs>
        <w:spacing w:before="120" w:after="0" w:line="278" w:lineRule="auto"/>
        <w:ind w:left="426" w:hanging="357"/>
        <w:rPr>
          <w:rFonts w:cs="Arial"/>
        </w:rPr>
      </w:pPr>
      <w:r w:rsidRPr="00F543C9">
        <w:rPr>
          <w:rFonts w:cs="Arial"/>
        </w:rPr>
        <w:t>Experience working flexibly in non-clinical, community settings</w:t>
      </w:r>
    </w:p>
    <w:p w14:paraId="0600E8C1" w14:textId="4C9FABCA" w:rsidR="00F543C9" w:rsidRPr="00257D41" w:rsidRDefault="00F543C9" w:rsidP="00F543C9">
      <w:pPr>
        <w:numPr>
          <w:ilvl w:val="0"/>
          <w:numId w:val="10"/>
        </w:numPr>
        <w:tabs>
          <w:tab w:val="clear" w:pos="720"/>
        </w:tabs>
        <w:spacing w:before="120" w:after="0" w:line="278" w:lineRule="auto"/>
        <w:ind w:left="426" w:hanging="357"/>
        <w:rPr>
          <w:rFonts w:ascii="Arial" w:hAnsi="Arial" w:cs="Arial"/>
          <w:sz w:val="24"/>
          <w:szCs w:val="24"/>
        </w:rPr>
      </w:pPr>
      <w:r w:rsidRPr="00F543C9">
        <w:rPr>
          <w:rFonts w:cs="Arial"/>
        </w:rPr>
        <w:t>Capacity to work both independently and collaboratively with youth work teams</w:t>
      </w:r>
      <w:r>
        <w:rPr>
          <w:rFonts w:cs="Arial"/>
        </w:rPr>
        <w:t>.</w:t>
      </w:r>
    </w:p>
    <w:p w14:paraId="1EA89D77" w14:textId="77777777" w:rsidR="00936327" w:rsidRPr="006A20C2" w:rsidRDefault="00936327" w:rsidP="00936327">
      <w:pPr>
        <w:spacing w:line="278" w:lineRule="auto"/>
        <w:ind w:left="720"/>
        <w:rPr>
          <w:highlight w:val="yellow"/>
        </w:rPr>
      </w:pPr>
    </w:p>
    <w:p w14:paraId="16B385C4" w14:textId="4B9BE775" w:rsidR="00E476D4" w:rsidRPr="00F543C9" w:rsidRDefault="00E476D4" w:rsidP="00E476D4">
      <w:pPr>
        <w:spacing w:line="278" w:lineRule="auto"/>
      </w:pPr>
      <w:r w:rsidRPr="00F543C9">
        <w:rPr>
          <w:b/>
          <w:bCs/>
        </w:rPr>
        <w:t>Desirable</w:t>
      </w:r>
      <w:r w:rsidR="00F543C9">
        <w:rPr>
          <w:b/>
          <w:bCs/>
        </w:rPr>
        <w:t xml:space="preserve"> Skills and Attributes for the Worker</w:t>
      </w:r>
      <w:r w:rsidRPr="00F543C9">
        <w:rPr>
          <w:b/>
          <w:bCs/>
        </w:rPr>
        <w:t>:</w:t>
      </w:r>
    </w:p>
    <w:p w14:paraId="001F7EF5" w14:textId="21DB0295" w:rsidR="00E476D4" w:rsidRPr="00F543C9" w:rsidRDefault="00E476D4" w:rsidP="00E476D4">
      <w:pPr>
        <w:numPr>
          <w:ilvl w:val="0"/>
          <w:numId w:val="11"/>
        </w:numPr>
        <w:spacing w:line="278" w:lineRule="auto"/>
      </w:pPr>
      <w:r w:rsidRPr="00F543C9">
        <w:t xml:space="preserve">Experience </w:t>
      </w:r>
      <w:r w:rsidR="00F543C9" w:rsidRPr="00F543C9">
        <w:t>in</w:t>
      </w:r>
      <w:r w:rsidRPr="00F543C9">
        <w:t xml:space="preserve"> group facilitation</w:t>
      </w:r>
    </w:p>
    <w:p w14:paraId="09377B14" w14:textId="2BA5E624" w:rsidR="00E476D4" w:rsidRPr="00F543C9" w:rsidRDefault="00E476D4" w:rsidP="00091331">
      <w:pPr>
        <w:numPr>
          <w:ilvl w:val="0"/>
          <w:numId w:val="11"/>
        </w:numPr>
      </w:pPr>
      <w:r w:rsidRPr="00F543C9">
        <w:t>Full driving licence</w:t>
      </w:r>
    </w:p>
    <w:p w14:paraId="4C5F62E1" w14:textId="77777777" w:rsidR="00355429" w:rsidRPr="00E476D4" w:rsidRDefault="00355429" w:rsidP="00355429">
      <w:pPr>
        <w:spacing w:line="278" w:lineRule="auto"/>
        <w:ind w:left="720"/>
      </w:pPr>
    </w:p>
    <w:p w14:paraId="30795A66" w14:textId="77777777" w:rsidR="00E476D4" w:rsidRPr="00E476D4" w:rsidRDefault="00E476D4" w:rsidP="00355429">
      <w:pPr>
        <w:pStyle w:val="Heading1"/>
      </w:pPr>
      <w:r w:rsidRPr="00E476D4">
        <w:t>4. Key Functions</w:t>
      </w:r>
    </w:p>
    <w:p w14:paraId="2E3A443F" w14:textId="77777777" w:rsidR="00936327" w:rsidRDefault="00936327" w:rsidP="00936327">
      <w:pPr>
        <w:spacing w:line="278" w:lineRule="auto"/>
        <w:ind w:left="720"/>
      </w:pPr>
    </w:p>
    <w:p w14:paraId="3A8DD45F" w14:textId="45AD8E56" w:rsidR="00E476D4" w:rsidRPr="00E476D4" w:rsidRDefault="00E476D4" w:rsidP="00E476D4">
      <w:pPr>
        <w:numPr>
          <w:ilvl w:val="0"/>
          <w:numId w:val="3"/>
        </w:numPr>
        <w:spacing w:line="278" w:lineRule="auto"/>
      </w:pPr>
      <w:r w:rsidRPr="00E476D4">
        <w:t>Provide individual therapeutic support to young people aged 15+</w:t>
      </w:r>
    </w:p>
    <w:p w14:paraId="6E1907C4" w14:textId="77777777" w:rsidR="00E476D4" w:rsidRPr="00E476D4" w:rsidRDefault="00E476D4" w:rsidP="00E476D4">
      <w:pPr>
        <w:numPr>
          <w:ilvl w:val="0"/>
          <w:numId w:val="3"/>
        </w:numPr>
        <w:spacing w:line="278" w:lineRule="auto"/>
      </w:pPr>
      <w:r w:rsidRPr="00E476D4">
        <w:t>Co-develop individualised support plans with young people</w:t>
      </w:r>
    </w:p>
    <w:p w14:paraId="514BE070" w14:textId="77777777" w:rsidR="00E476D4" w:rsidRPr="00E476D4" w:rsidRDefault="00E476D4" w:rsidP="00E476D4">
      <w:pPr>
        <w:numPr>
          <w:ilvl w:val="0"/>
          <w:numId w:val="3"/>
        </w:numPr>
        <w:spacing w:line="278" w:lineRule="auto"/>
      </w:pPr>
      <w:r w:rsidRPr="00E476D4">
        <w:t>Offer informal pre-engagement meetings to build trust</w:t>
      </w:r>
    </w:p>
    <w:p w14:paraId="66EE1ACD" w14:textId="77777777" w:rsidR="00E476D4" w:rsidRPr="00E476D4" w:rsidRDefault="00E476D4" w:rsidP="00E476D4">
      <w:pPr>
        <w:numPr>
          <w:ilvl w:val="0"/>
          <w:numId w:val="3"/>
        </w:numPr>
        <w:spacing w:line="278" w:lineRule="auto"/>
      </w:pPr>
      <w:r w:rsidRPr="00E476D4">
        <w:t>Deliver group-based workshops or activities where appropriate</w:t>
      </w:r>
    </w:p>
    <w:p w14:paraId="57871CD0" w14:textId="0D688413" w:rsidR="00E476D4" w:rsidRPr="00E476D4" w:rsidRDefault="00E476D4" w:rsidP="00B038EC">
      <w:pPr>
        <w:numPr>
          <w:ilvl w:val="0"/>
          <w:numId w:val="3"/>
        </w:numPr>
        <w:spacing w:line="278" w:lineRule="auto"/>
      </w:pPr>
      <w:r w:rsidRPr="00E476D4">
        <w:t>Engage in drop-ins, community events, and informal youth project life</w:t>
      </w:r>
      <w:r>
        <w:t xml:space="preserve"> </w:t>
      </w:r>
      <w:r w:rsidRPr="00E476D4">
        <w:t>to build visibility and connectio</w:t>
      </w:r>
      <w:r>
        <w:t>n</w:t>
      </w:r>
    </w:p>
    <w:p w14:paraId="75693871" w14:textId="0D6BF048" w:rsidR="00E476D4" w:rsidRPr="00E476D4" w:rsidRDefault="00E476D4" w:rsidP="00E476D4">
      <w:pPr>
        <w:numPr>
          <w:ilvl w:val="0"/>
          <w:numId w:val="3"/>
        </w:numPr>
        <w:spacing w:line="278" w:lineRule="auto"/>
      </w:pPr>
      <w:r>
        <w:t>Work closely</w:t>
      </w:r>
      <w:r w:rsidRPr="00E476D4">
        <w:t xml:space="preserve"> with youth workers to provide wraparound support</w:t>
      </w:r>
    </w:p>
    <w:p w14:paraId="60A741EE" w14:textId="77777777" w:rsidR="00E476D4" w:rsidRPr="00E476D4" w:rsidRDefault="00E476D4" w:rsidP="00E476D4">
      <w:pPr>
        <w:numPr>
          <w:ilvl w:val="0"/>
          <w:numId w:val="3"/>
        </w:numPr>
        <w:spacing w:line="278" w:lineRule="auto"/>
      </w:pPr>
      <w:r w:rsidRPr="00E476D4">
        <w:t>Make onward referrals where appropriate, in consultation with youth workers</w:t>
      </w:r>
    </w:p>
    <w:p w14:paraId="0B994379" w14:textId="77777777" w:rsidR="00E476D4" w:rsidRPr="00E476D4" w:rsidRDefault="00E476D4" w:rsidP="00E476D4">
      <w:pPr>
        <w:numPr>
          <w:ilvl w:val="0"/>
          <w:numId w:val="3"/>
        </w:numPr>
        <w:spacing w:line="278" w:lineRule="auto"/>
      </w:pPr>
      <w:r w:rsidRPr="00E476D4">
        <w:t>Maintain clear, trauma-informed records using agreed systems</w:t>
      </w:r>
    </w:p>
    <w:p w14:paraId="11BE1DAD" w14:textId="1AB67167" w:rsidR="00E476D4" w:rsidRDefault="00E476D4" w:rsidP="00E476D4">
      <w:pPr>
        <w:numPr>
          <w:ilvl w:val="0"/>
          <w:numId w:val="3"/>
        </w:numPr>
        <w:spacing w:line="278" w:lineRule="auto"/>
      </w:pPr>
      <w:r w:rsidRPr="00E476D4">
        <w:t xml:space="preserve">Attend external clinical supervision and internal </w:t>
      </w:r>
      <w:r>
        <w:t>project supervision</w:t>
      </w:r>
    </w:p>
    <w:p w14:paraId="4C2B6303" w14:textId="77777777" w:rsidR="00936327" w:rsidRDefault="00936327" w:rsidP="00936327">
      <w:pPr>
        <w:spacing w:line="278" w:lineRule="auto"/>
      </w:pPr>
    </w:p>
    <w:p w14:paraId="1A1902C9" w14:textId="77777777" w:rsidR="00936327" w:rsidRPr="00E476D4" w:rsidRDefault="00936327" w:rsidP="00936327">
      <w:pPr>
        <w:spacing w:line="278" w:lineRule="auto"/>
      </w:pPr>
    </w:p>
    <w:p w14:paraId="45852979" w14:textId="78CAF6A9" w:rsidR="00E476D4" w:rsidRPr="00E476D4" w:rsidRDefault="00E476D4" w:rsidP="00E476D4">
      <w:pPr>
        <w:spacing w:line="278" w:lineRule="auto"/>
      </w:pPr>
    </w:p>
    <w:p w14:paraId="5D26E9B1" w14:textId="77777777" w:rsidR="008E0476" w:rsidRDefault="008E0476">
      <w:pPr>
        <w:rPr>
          <w:rFonts w:asciiTheme="majorHAnsi" w:eastAsiaTheme="majorEastAsia" w:hAnsiTheme="majorHAnsi" w:cstheme="majorBidi"/>
          <w:color w:val="262626" w:themeColor="text1" w:themeTint="D9"/>
          <w:sz w:val="40"/>
          <w:szCs w:val="40"/>
        </w:rPr>
      </w:pPr>
      <w:r>
        <w:br w:type="page"/>
      </w:r>
    </w:p>
    <w:p w14:paraId="4AFD8CB1" w14:textId="38CE4B2E" w:rsidR="00E476D4" w:rsidRDefault="00E476D4" w:rsidP="00355429">
      <w:pPr>
        <w:pStyle w:val="Heading1"/>
      </w:pPr>
      <w:r w:rsidRPr="00E476D4">
        <w:lastRenderedPageBreak/>
        <w:t>5. Working Approach</w:t>
      </w:r>
    </w:p>
    <w:p w14:paraId="65C31392" w14:textId="77777777" w:rsidR="00355429" w:rsidRPr="00355429" w:rsidRDefault="00355429" w:rsidP="00355429"/>
    <w:p w14:paraId="0107A6BA" w14:textId="0F3CEA95" w:rsidR="00A21019" w:rsidRPr="00A21019" w:rsidRDefault="00A21019" w:rsidP="00E476D4">
      <w:pPr>
        <w:spacing w:line="278" w:lineRule="auto"/>
      </w:pPr>
      <w:r>
        <w:rPr>
          <w:b/>
          <w:bCs/>
        </w:rPr>
        <w:t xml:space="preserve">Role Name: </w:t>
      </w:r>
      <w:r w:rsidRPr="00A21019">
        <w:t xml:space="preserve">The role name is key to removing stigma and barriers to accessing therapeutic support. While the worker must be a qualified therapeutic worker, the </w:t>
      </w:r>
      <w:r w:rsidR="002E1C4E">
        <w:t>Well-being</w:t>
      </w:r>
      <w:r w:rsidRPr="00A21019">
        <w:t xml:space="preserve"> worker name is key to accessibility. </w:t>
      </w:r>
    </w:p>
    <w:p w14:paraId="7C0B3086" w14:textId="0824A62C" w:rsidR="00E476D4" w:rsidRPr="00E476D4" w:rsidRDefault="00E476D4" w:rsidP="00E476D4">
      <w:pPr>
        <w:spacing w:line="278" w:lineRule="auto"/>
      </w:pPr>
      <w:r w:rsidRPr="00E476D4">
        <w:rPr>
          <w:b/>
          <w:bCs/>
        </w:rPr>
        <w:t>Pre-Engagement:</w:t>
      </w:r>
      <w:r w:rsidRPr="00E476D4">
        <w:t xml:space="preserve"> Young people should have the option of an informal meeting before committing to sessions. This supports agency, reduces anxiety, and allows for relational trust to develop naturally.</w:t>
      </w:r>
    </w:p>
    <w:p w14:paraId="545176CB" w14:textId="77777777" w:rsidR="00E476D4" w:rsidRPr="00E476D4" w:rsidRDefault="00E476D4" w:rsidP="00E476D4">
      <w:pPr>
        <w:spacing w:line="278" w:lineRule="auto"/>
      </w:pPr>
      <w:r w:rsidRPr="00E476D4">
        <w:rPr>
          <w:b/>
          <w:bCs/>
        </w:rPr>
        <w:t>Flexible Engagement:</w:t>
      </w:r>
      <w:r w:rsidRPr="00E476D4">
        <w:t xml:space="preserve"> Sessions should be adaptable to meet young people where they are—physically, emotionally, and psychologically. Options include walk-and-talks, off-site meetings, and responsive scheduling.</w:t>
      </w:r>
    </w:p>
    <w:p w14:paraId="54473C29" w14:textId="77777777" w:rsidR="00E476D4" w:rsidRPr="00E476D4" w:rsidRDefault="00E476D4" w:rsidP="00E476D4">
      <w:pPr>
        <w:spacing w:line="278" w:lineRule="auto"/>
      </w:pPr>
      <w:r w:rsidRPr="00E476D4">
        <w:rPr>
          <w:b/>
          <w:bCs/>
        </w:rPr>
        <w:t>No Time Limits:</w:t>
      </w:r>
      <w:r w:rsidRPr="00E476D4">
        <w:t xml:space="preserve"> There should be no fixed number of sessions. The standing offer of support allows young people to disengage and return as needed, reducing pressure and increasing safety.</w:t>
      </w:r>
    </w:p>
    <w:p w14:paraId="4BDBD8BF" w14:textId="77777777" w:rsidR="00E476D4" w:rsidRPr="00E476D4" w:rsidRDefault="00E476D4" w:rsidP="00E476D4">
      <w:pPr>
        <w:spacing w:line="278" w:lineRule="auto"/>
      </w:pPr>
      <w:r w:rsidRPr="00E476D4">
        <w:rPr>
          <w:b/>
          <w:bCs/>
        </w:rPr>
        <w:t>Visibility and Informal Presence:</w:t>
      </w:r>
      <w:r w:rsidRPr="00E476D4">
        <w:t xml:space="preserve"> The WW should maintain regular, informal presence within youth projects. Visibility in group activities, events, or drop-in settings increases awareness and helps normalise therapeutic support.</w:t>
      </w:r>
    </w:p>
    <w:p w14:paraId="4C16E7C9" w14:textId="77777777" w:rsidR="00E476D4" w:rsidRPr="00E476D4" w:rsidRDefault="00E476D4" w:rsidP="00E476D4">
      <w:pPr>
        <w:spacing w:line="278" w:lineRule="auto"/>
      </w:pPr>
      <w:r w:rsidRPr="00E476D4">
        <w:rPr>
          <w:b/>
          <w:bCs/>
        </w:rPr>
        <w:t>Group Work and Outreach:</w:t>
      </w:r>
      <w:r w:rsidRPr="00E476D4">
        <w:t xml:space="preserve"> Where engagement is low, or where group-based needs arise (e.g., grief, harm reduction), the WW can offer group sessions, workshops, or attend community events to build relationships and trust.</w:t>
      </w:r>
    </w:p>
    <w:p w14:paraId="25C6E00A" w14:textId="77777777" w:rsidR="00E476D4" w:rsidRPr="00E476D4" w:rsidRDefault="00E476D4" w:rsidP="00E476D4">
      <w:pPr>
        <w:spacing w:line="278" w:lineRule="auto"/>
      </w:pPr>
      <w:r w:rsidRPr="00E476D4">
        <w:rPr>
          <w:b/>
          <w:bCs/>
        </w:rPr>
        <w:t>Ethical Engagement with Young People Under the Influence:</w:t>
      </w:r>
      <w:r w:rsidRPr="00E476D4">
        <w:t xml:space="preserve"> Therapeutic work should not proceed when a young person is under the influence. However, this does not mean disengagement. The WW should maintain a presence, offer relational connection, and ensure the young person feels respected and supported.</w:t>
      </w:r>
    </w:p>
    <w:p w14:paraId="598DA730" w14:textId="77777777" w:rsidR="00E476D4" w:rsidRDefault="00E476D4" w:rsidP="00E476D4">
      <w:r w:rsidRPr="00E476D4">
        <w:rPr>
          <w:b/>
          <w:bCs/>
        </w:rPr>
        <w:t>Referral Boundaries:</w:t>
      </w:r>
      <w:r w:rsidRPr="00E476D4">
        <w:t xml:space="preserve"> Where therapeutic needs exceed the scope of the WW, a referral pathway should be in place—developed collaboratively with youth workers. This ensures continuity and avoids over-reliance on a single practitioner.</w:t>
      </w:r>
    </w:p>
    <w:p w14:paraId="3C251D87" w14:textId="77777777" w:rsidR="00355429" w:rsidRDefault="00355429" w:rsidP="00E476D4"/>
    <w:p w14:paraId="1FE8ED99" w14:textId="77777777" w:rsidR="00355429" w:rsidRDefault="00355429" w:rsidP="00E476D4"/>
    <w:p w14:paraId="1A65503E" w14:textId="77777777" w:rsidR="00355429" w:rsidRDefault="00355429" w:rsidP="00E476D4"/>
    <w:p w14:paraId="6D1A537F" w14:textId="77777777" w:rsidR="00355429" w:rsidRDefault="00355429" w:rsidP="00E476D4"/>
    <w:p w14:paraId="3872614F" w14:textId="77777777" w:rsidR="00355429" w:rsidRDefault="00355429" w:rsidP="00E476D4"/>
    <w:p w14:paraId="46E296B7" w14:textId="77777777" w:rsidR="00936327" w:rsidRDefault="00936327" w:rsidP="00E476D4"/>
    <w:p w14:paraId="4C4600A9" w14:textId="77777777" w:rsidR="00936327" w:rsidRDefault="00936327" w:rsidP="00E476D4"/>
    <w:p w14:paraId="3530561B" w14:textId="77777777" w:rsidR="00936327" w:rsidRDefault="00936327" w:rsidP="00E476D4"/>
    <w:p w14:paraId="7F430243" w14:textId="77777777" w:rsidR="00936327" w:rsidRDefault="00936327" w:rsidP="00E476D4"/>
    <w:p w14:paraId="3DA9E08F" w14:textId="77777777" w:rsidR="00624052" w:rsidRDefault="00624052" w:rsidP="00E476D4"/>
    <w:p w14:paraId="1D6ADA82" w14:textId="77777777" w:rsidR="00624052" w:rsidRPr="00355429" w:rsidRDefault="00624052" w:rsidP="00355429">
      <w:pPr>
        <w:pStyle w:val="Heading1"/>
        <w:rPr>
          <w:sz w:val="36"/>
          <w:szCs w:val="36"/>
        </w:rPr>
      </w:pPr>
      <w:r w:rsidRPr="00624052">
        <w:t xml:space="preserve">6. Process Overview: </w:t>
      </w:r>
      <w:r w:rsidRPr="00355429">
        <w:rPr>
          <w:sz w:val="36"/>
          <w:szCs w:val="36"/>
        </w:rPr>
        <w:t>How the Role Functions in Practice</w:t>
      </w:r>
    </w:p>
    <w:p w14:paraId="0D317A91" w14:textId="77777777" w:rsidR="00936327" w:rsidRDefault="00936327" w:rsidP="00624052">
      <w:pPr>
        <w:spacing w:line="278" w:lineRule="auto"/>
      </w:pPr>
    </w:p>
    <w:p w14:paraId="274D6400" w14:textId="1A641976" w:rsidR="00624052" w:rsidRPr="00624052" w:rsidRDefault="00624052" w:rsidP="00624052">
      <w:pPr>
        <w:spacing w:line="278" w:lineRule="auto"/>
      </w:pPr>
      <w:r w:rsidRPr="00624052">
        <w:t>To ensure consistency and clarity, this section outlines the typical process by which a young person accesses support from the WW.</w:t>
      </w:r>
    </w:p>
    <w:p w14:paraId="5F02255F" w14:textId="77777777" w:rsidR="00624052" w:rsidRPr="00624052" w:rsidRDefault="00624052" w:rsidP="00624052">
      <w:pPr>
        <w:spacing w:line="278" w:lineRule="auto"/>
      </w:pPr>
      <w:r w:rsidRPr="00624052">
        <w:rPr>
          <w:b/>
          <w:bCs/>
        </w:rPr>
        <w:t>Step 1: Identification</w:t>
      </w:r>
    </w:p>
    <w:p w14:paraId="70609163" w14:textId="77777777" w:rsidR="00624052" w:rsidRPr="00624052" w:rsidRDefault="00624052" w:rsidP="00624052">
      <w:pPr>
        <w:numPr>
          <w:ilvl w:val="0"/>
          <w:numId w:val="20"/>
        </w:numPr>
        <w:spacing w:line="278" w:lineRule="auto"/>
      </w:pPr>
      <w:r w:rsidRPr="00624052">
        <w:t>A youth worker identifies that a young person may benefit from engaging with the WW. This is usually based on their knowledge of the young person’s needs, emotional state, or changes in behaviour.</w:t>
      </w:r>
    </w:p>
    <w:p w14:paraId="43B6880A" w14:textId="77777777" w:rsidR="00624052" w:rsidRPr="00624052" w:rsidRDefault="00624052" w:rsidP="00624052">
      <w:pPr>
        <w:spacing w:line="278" w:lineRule="auto"/>
      </w:pPr>
      <w:r w:rsidRPr="00624052">
        <w:rPr>
          <w:b/>
          <w:bCs/>
        </w:rPr>
        <w:t>Step 2: Introduction and Consent</w:t>
      </w:r>
    </w:p>
    <w:p w14:paraId="4C8DB1E3" w14:textId="77777777" w:rsidR="00624052" w:rsidRPr="00624052" w:rsidRDefault="00624052" w:rsidP="00624052">
      <w:pPr>
        <w:numPr>
          <w:ilvl w:val="0"/>
          <w:numId w:val="21"/>
        </w:numPr>
        <w:spacing w:line="278" w:lineRule="auto"/>
      </w:pPr>
      <w:r w:rsidRPr="00624052">
        <w:t>The youth worker introduces the idea to the young person in an informal way. Emphasis is placed on the voluntary nature of the engagement.</w:t>
      </w:r>
    </w:p>
    <w:p w14:paraId="72EE2B87" w14:textId="77777777" w:rsidR="00624052" w:rsidRPr="00624052" w:rsidRDefault="00624052" w:rsidP="00624052">
      <w:pPr>
        <w:numPr>
          <w:ilvl w:val="0"/>
          <w:numId w:val="21"/>
        </w:numPr>
        <w:spacing w:line="278" w:lineRule="auto"/>
      </w:pPr>
      <w:r w:rsidRPr="00624052">
        <w:t>If the young person expresses interest, they are offered an informal, no-pressure pre-engagement meeting with the WW.</w:t>
      </w:r>
    </w:p>
    <w:p w14:paraId="3608C09F" w14:textId="77777777" w:rsidR="00624052" w:rsidRPr="00624052" w:rsidRDefault="00624052" w:rsidP="00624052">
      <w:pPr>
        <w:spacing w:line="278" w:lineRule="auto"/>
      </w:pPr>
      <w:r w:rsidRPr="00624052">
        <w:rPr>
          <w:b/>
          <w:bCs/>
        </w:rPr>
        <w:t>Step 3: Pre-Engagement Meeting</w:t>
      </w:r>
    </w:p>
    <w:p w14:paraId="08D260DE" w14:textId="77777777" w:rsidR="00624052" w:rsidRPr="00624052" w:rsidRDefault="00624052" w:rsidP="00624052">
      <w:pPr>
        <w:numPr>
          <w:ilvl w:val="0"/>
          <w:numId w:val="22"/>
        </w:numPr>
        <w:spacing w:line="278" w:lineRule="auto"/>
      </w:pPr>
      <w:r w:rsidRPr="00624052">
        <w:t>This meeting takes place in a youth-friendly, familiar environment. It is a space for the young person to meet the WW, ask questions, and get a sense of the process before deciding whether to continue.</w:t>
      </w:r>
    </w:p>
    <w:p w14:paraId="09DAD49B" w14:textId="77777777" w:rsidR="00624052" w:rsidRPr="00624052" w:rsidRDefault="00624052" w:rsidP="00624052">
      <w:pPr>
        <w:spacing w:line="278" w:lineRule="auto"/>
      </w:pPr>
      <w:r w:rsidRPr="00624052">
        <w:rPr>
          <w:b/>
          <w:bCs/>
        </w:rPr>
        <w:t>Step 4: Ongoing Therapeutic Work</w:t>
      </w:r>
    </w:p>
    <w:p w14:paraId="2B1AFB60" w14:textId="51951E50" w:rsidR="00624052" w:rsidRPr="00624052" w:rsidRDefault="00624052" w:rsidP="00624052">
      <w:pPr>
        <w:numPr>
          <w:ilvl w:val="0"/>
          <w:numId w:val="23"/>
        </w:numPr>
        <w:spacing w:line="278" w:lineRule="auto"/>
      </w:pPr>
      <w:r w:rsidRPr="00624052">
        <w:t xml:space="preserve">If the young person chooses to proceed, regular one-to-one sessions are arranged. The frequency and format are </w:t>
      </w:r>
      <w:r w:rsidR="0030404E" w:rsidRPr="00624052">
        <w:t>flexible and</w:t>
      </w:r>
      <w:r w:rsidRPr="00624052">
        <w:t xml:space="preserve"> always based on the young person’s preferences and availability.</w:t>
      </w:r>
    </w:p>
    <w:p w14:paraId="452A6D23" w14:textId="77777777" w:rsidR="00624052" w:rsidRPr="00624052" w:rsidRDefault="00624052" w:rsidP="00624052">
      <w:pPr>
        <w:numPr>
          <w:ilvl w:val="0"/>
          <w:numId w:val="23"/>
        </w:numPr>
        <w:spacing w:line="278" w:lineRule="auto"/>
      </w:pPr>
      <w:r w:rsidRPr="00624052">
        <w:t>The youth worker remains part of the support network, providing continuity and support between sessions if needed.</w:t>
      </w:r>
    </w:p>
    <w:p w14:paraId="07A9BAB3" w14:textId="77777777" w:rsidR="00624052" w:rsidRPr="00624052" w:rsidRDefault="00624052" w:rsidP="00624052">
      <w:pPr>
        <w:spacing w:line="278" w:lineRule="auto"/>
      </w:pPr>
      <w:r w:rsidRPr="00624052">
        <w:rPr>
          <w:b/>
          <w:bCs/>
        </w:rPr>
        <w:t>Step 5: Flexibility and Exit</w:t>
      </w:r>
    </w:p>
    <w:p w14:paraId="156C167C" w14:textId="77777777" w:rsidR="00624052" w:rsidRPr="00624052" w:rsidRDefault="00624052" w:rsidP="00624052">
      <w:pPr>
        <w:numPr>
          <w:ilvl w:val="0"/>
          <w:numId w:val="24"/>
        </w:numPr>
        <w:spacing w:line="278" w:lineRule="auto"/>
      </w:pPr>
      <w:r w:rsidRPr="00624052">
        <w:t>The young person can pause or end sessions at any time. They are informed that they can return later without judgment.</w:t>
      </w:r>
    </w:p>
    <w:p w14:paraId="6EA74206" w14:textId="77777777" w:rsidR="00624052" w:rsidRPr="00624052" w:rsidRDefault="00624052" w:rsidP="00624052">
      <w:pPr>
        <w:numPr>
          <w:ilvl w:val="0"/>
          <w:numId w:val="24"/>
        </w:numPr>
        <w:spacing w:line="278" w:lineRule="auto"/>
      </w:pPr>
      <w:r w:rsidRPr="00624052">
        <w:t>If the WW is not the best fit, the young person can be supported to access alternative services.</w:t>
      </w:r>
    </w:p>
    <w:p w14:paraId="219CDC1D" w14:textId="77777777" w:rsidR="00624052" w:rsidRPr="00624052" w:rsidRDefault="00624052" w:rsidP="00624052">
      <w:pPr>
        <w:spacing w:line="278" w:lineRule="auto"/>
      </w:pPr>
      <w:r w:rsidRPr="00624052">
        <w:t>This process ensures that the role is introduced and delivered in a youth-centred, ethical, and non-intrusive way, supported by the trust already present between the young person and their youth worker.</w:t>
      </w:r>
    </w:p>
    <w:p w14:paraId="02205F9A" w14:textId="77777777" w:rsidR="00624052" w:rsidRDefault="00624052" w:rsidP="00E476D4"/>
    <w:p w14:paraId="38F8BB55" w14:textId="77777777" w:rsidR="00624052" w:rsidRDefault="00624052" w:rsidP="00E476D4"/>
    <w:p w14:paraId="53B15A40" w14:textId="6C06DCA0" w:rsidR="00624052" w:rsidRDefault="00624052" w:rsidP="00355429">
      <w:pPr>
        <w:pStyle w:val="Heading1"/>
      </w:pPr>
      <w:r>
        <w:lastRenderedPageBreak/>
        <w:t>7</w:t>
      </w:r>
      <w:r w:rsidRPr="00624052">
        <w:t>. Role Within the Youth Project Team</w:t>
      </w:r>
    </w:p>
    <w:p w14:paraId="3CBC1A4D" w14:textId="77777777" w:rsidR="00355429" w:rsidRPr="00355429" w:rsidRDefault="00355429" w:rsidP="00355429"/>
    <w:p w14:paraId="55E02ACE" w14:textId="77777777" w:rsidR="00624052" w:rsidRPr="00624052" w:rsidRDefault="00624052" w:rsidP="00624052">
      <w:pPr>
        <w:spacing w:line="278" w:lineRule="auto"/>
      </w:pPr>
      <w:r w:rsidRPr="00624052">
        <w:t>The WW is not a substitute for youth work, but a complementary role that enhances the overall wraparound support offered by the team. Key elements include:</w:t>
      </w:r>
    </w:p>
    <w:p w14:paraId="13D70DB6" w14:textId="77777777" w:rsidR="00624052" w:rsidRPr="00624052" w:rsidRDefault="00624052" w:rsidP="00624052">
      <w:pPr>
        <w:numPr>
          <w:ilvl w:val="0"/>
          <w:numId w:val="12"/>
        </w:numPr>
        <w:spacing w:line="278" w:lineRule="auto"/>
      </w:pPr>
      <w:r w:rsidRPr="00624052">
        <w:t>Joint planning and case reflection with youth workers</w:t>
      </w:r>
    </w:p>
    <w:p w14:paraId="3C35AFAC" w14:textId="77777777" w:rsidR="00624052" w:rsidRPr="00624052" w:rsidRDefault="00624052" w:rsidP="00624052">
      <w:pPr>
        <w:numPr>
          <w:ilvl w:val="0"/>
          <w:numId w:val="12"/>
        </w:numPr>
        <w:spacing w:line="278" w:lineRule="auto"/>
      </w:pPr>
      <w:r w:rsidRPr="00624052">
        <w:t>Participation in team meetings (where appropriate)</w:t>
      </w:r>
    </w:p>
    <w:p w14:paraId="72A127EE" w14:textId="77777777" w:rsidR="00624052" w:rsidRPr="00624052" w:rsidRDefault="00624052" w:rsidP="00624052">
      <w:pPr>
        <w:numPr>
          <w:ilvl w:val="0"/>
          <w:numId w:val="12"/>
        </w:numPr>
        <w:spacing w:line="278" w:lineRule="auto"/>
      </w:pPr>
      <w:r w:rsidRPr="00624052">
        <w:t>Clarity on boundaries and confidentiality</w:t>
      </w:r>
    </w:p>
    <w:p w14:paraId="2B85DC7C" w14:textId="77777777" w:rsidR="00624052" w:rsidRPr="00624052" w:rsidRDefault="00624052" w:rsidP="00624052">
      <w:pPr>
        <w:numPr>
          <w:ilvl w:val="0"/>
          <w:numId w:val="12"/>
        </w:numPr>
        <w:spacing w:line="278" w:lineRule="auto"/>
      </w:pPr>
      <w:r w:rsidRPr="00624052">
        <w:t>Shared understanding of referral processes and follow-up</w:t>
      </w:r>
    </w:p>
    <w:p w14:paraId="7C822EC8" w14:textId="77777777" w:rsidR="00F543C9" w:rsidRPr="00F543C9" w:rsidRDefault="00F543C9" w:rsidP="00F543C9">
      <w:pPr>
        <w:rPr>
          <w:color w:val="000000" w:themeColor="text1"/>
        </w:rPr>
      </w:pPr>
      <w:r w:rsidRPr="00F543C9">
        <w:rPr>
          <w:color w:val="000000" w:themeColor="text1"/>
        </w:rPr>
        <w:t xml:space="preserve">While the Project Manager of each project will manage the WW’s work in that organisation, the project’s Drug and Alcohol Worker will also act as a secondary point of contact for the WW within each project team. </w:t>
      </w:r>
    </w:p>
    <w:p w14:paraId="1DCBCA43" w14:textId="77777777" w:rsidR="000C380C" w:rsidRPr="00F543C9" w:rsidRDefault="00624052" w:rsidP="00624052">
      <w:r w:rsidRPr="00F543C9">
        <w:t>Youth workers are often the bridge to therapeutic engagement. Their insight and relational trust with young people must be respected and utilised in all aspects of the WW role.</w:t>
      </w:r>
      <w:r w:rsidR="000C380C" w:rsidRPr="00F543C9">
        <w:t xml:space="preserve"> </w:t>
      </w:r>
    </w:p>
    <w:p w14:paraId="531F3538" w14:textId="77777777" w:rsidR="00624052" w:rsidRDefault="00624052" w:rsidP="00624052">
      <w:pPr>
        <w:rPr>
          <w:i/>
          <w:iCs/>
        </w:rPr>
      </w:pPr>
    </w:p>
    <w:p w14:paraId="3AAC8372" w14:textId="77777777" w:rsidR="00936327" w:rsidRDefault="00936327" w:rsidP="00624052">
      <w:pPr>
        <w:rPr>
          <w:i/>
          <w:iCs/>
        </w:rPr>
      </w:pPr>
    </w:p>
    <w:p w14:paraId="7429510C" w14:textId="76B8A132" w:rsidR="00624052" w:rsidRDefault="00624052" w:rsidP="00355429">
      <w:pPr>
        <w:pStyle w:val="Heading1"/>
      </w:pPr>
      <w:r>
        <w:t>8</w:t>
      </w:r>
      <w:r w:rsidRPr="00624052">
        <w:t>. Implementation Considerations</w:t>
      </w:r>
    </w:p>
    <w:p w14:paraId="05858AC8" w14:textId="77777777" w:rsidR="00355429" w:rsidRPr="00355429" w:rsidRDefault="00355429" w:rsidP="00355429"/>
    <w:p w14:paraId="70172BEC" w14:textId="044EA3B3" w:rsidR="00624052" w:rsidRPr="00624052" w:rsidRDefault="00624052" w:rsidP="00624052">
      <w:pPr>
        <w:spacing w:line="278" w:lineRule="auto"/>
      </w:pPr>
      <w:r w:rsidRPr="00624052">
        <w:rPr>
          <w:b/>
          <w:bCs/>
        </w:rPr>
        <w:t>Service-Level Alignment:</w:t>
      </w:r>
      <w:r w:rsidRPr="00624052">
        <w:t xml:space="preserve"> Where the role is implemented across multiple sites, shared induction, supervision structures, </w:t>
      </w:r>
      <w:r>
        <w:t xml:space="preserve">clear communication </w:t>
      </w:r>
      <w:r w:rsidRPr="00624052">
        <w:t>and a unified vision for the role are essential to consistency and impact.</w:t>
      </w:r>
    </w:p>
    <w:p w14:paraId="43FCF299" w14:textId="77777777" w:rsidR="00624052" w:rsidRPr="00624052" w:rsidRDefault="00624052" w:rsidP="00624052">
      <w:pPr>
        <w:spacing w:line="278" w:lineRule="auto"/>
      </w:pPr>
      <w:r w:rsidRPr="00624052">
        <w:rPr>
          <w:b/>
          <w:bCs/>
        </w:rPr>
        <w:t>Introduction to the Project:</w:t>
      </w:r>
    </w:p>
    <w:p w14:paraId="59F3A6C8" w14:textId="77777777" w:rsidR="00624052" w:rsidRPr="00624052" w:rsidRDefault="00624052" w:rsidP="00624052">
      <w:pPr>
        <w:numPr>
          <w:ilvl w:val="0"/>
          <w:numId w:val="13"/>
        </w:numPr>
        <w:spacing w:line="278" w:lineRule="auto"/>
      </w:pPr>
      <w:r w:rsidRPr="00624052">
        <w:t>Start with informal engagement: attend events, introduce the role slowly</w:t>
      </w:r>
    </w:p>
    <w:p w14:paraId="73522045" w14:textId="77777777" w:rsidR="00624052" w:rsidRPr="00624052" w:rsidRDefault="00624052" w:rsidP="00624052">
      <w:pPr>
        <w:numPr>
          <w:ilvl w:val="0"/>
          <w:numId w:val="13"/>
        </w:numPr>
        <w:spacing w:line="278" w:lineRule="auto"/>
      </w:pPr>
      <w:r w:rsidRPr="00624052">
        <w:t>Youth workers should be briefed and supported to introduce the WW to young people</w:t>
      </w:r>
    </w:p>
    <w:p w14:paraId="30ACDA33" w14:textId="77777777" w:rsidR="00624052" w:rsidRPr="00624052" w:rsidRDefault="00624052" w:rsidP="00624052">
      <w:pPr>
        <w:numPr>
          <w:ilvl w:val="0"/>
          <w:numId w:val="13"/>
        </w:numPr>
        <w:spacing w:line="278" w:lineRule="auto"/>
      </w:pPr>
      <w:r w:rsidRPr="00624052">
        <w:t>Include posters or social media updates to raise awareness</w:t>
      </w:r>
    </w:p>
    <w:p w14:paraId="723B95FD" w14:textId="77777777" w:rsidR="00624052" w:rsidRPr="00624052" w:rsidRDefault="00624052" w:rsidP="00624052">
      <w:pPr>
        <w:spacing w:line="278" w:lineRule="auto"/>
      </w:pPr>
      <w:r w:rsidRPr="00624052">
        <w:rPr>
          <w:b/>
          <w:bCs/>
        </w:rPr>
        <w:t>Balancing One-to-One and Group Work:</w:t>
      </w:r>
    </w:p>
    <w:p w14:paraId="72F60557" w14:textId="77777777" w:rsidR="00624052" w:rsidRPr="00624052" w:rsidRDefault="00624052" w:rsidP="00624052">
      <w:pPr>
        <w:numPr>
          <w:ilvl w:val="0"/>
          <w:numId w:val="14"/>
        </w:numPr>
        <w:spacing w:line="278" w:lineRule="auto"/>
      </w:pPr>
      <w:r w:rsidRPr="00624052">
        <w:t>One-to-one sessions remain core, but group work is a strategic tool for engagement</w:t>
      </w:r>
    </w:p>
    <w:p w14:paraId="6337D350" w14:textId="77777777" w:rsidR="00624052" w:rsidRPr="00624052" w:rsidRDefault="00624052" w:rsidP="00624052">
      <w:pPr>
        <w:numPr>
          <w:ilvl w:val="0"/>
          <w:numId w:val="14"/>
        </w:numPr>
        <w:spacing w:line="278" w:lineRule="auto"/>
      </w:pPr>
      <w:r w:rsidRPr="00624052">
        <w:t>Services should allow time for the WW to attend community events and offer workshops</w:t>
      </w:r>
    </w:p>
    <w:p w14:paraId="6FB295E0" w14:textId="77777777" w:rsidR="00624052" w:rsidRPr="00624052" w:rsidRDefault="00624052" w:rsidP="00624052">
      <w:pPr>
        <w:spacing w:line="278" w:lineRule="auto"/>
      </w:pPr>
      <w:r w:rsidRPr="00624052">
        <w:rPr>
          <w:b/>
          <w:bCs/>
        </w:rPr>
        <w:t>Scheduling and Time Use:</w:t>
      </w:r>
    </w:p>
    <w:p w14:paraId="312CAF35" w14:textId="77777777" w:rsidR="00624052" w:rsidRDefault="00624052" w:rsidP="00624052">
      <w:pPr>
        <w:numPr>
          <w:ilvl w:val="0"/>
          <w:numId w:val="15"/>
        </w:numPr>
        <w:spacing w:line="278" w:lineRule="auto"/>
      </w:pPr>
      <w:r w:rsidRPr="00624052">
        <w:t>Clearly agree how the WW’s time will be spent when one-to-one sessions are not booked (e.g., visibility work, group facilitation, resource development)</w:t>
      </w:r>
    </w:p>
    <w:p w14:paraId="40BF527C" w14:textId="77777777" w:rsidR="00936327" w:rsidRDefault="00936327" w:rsidP="00936327">
      <w:pPr>
        <w:spacing w:line="278" w:lineRule="auto"/>
      </w:pPr>
    </w:p>
    <w:p w14:paraId="6219E05F" w14:textId="77777777" w:rsidR="00936327" w:rsidRPr="00624052" w:rsidRDefault="00936327" w:rsidP="00936327">
      <w:pPr>
        <w:spacing w:line="278" w:lineRule="auto"/>
      </w:pPr>
    </w:p>
    <w:p w14:paraId="0F499284" w14:textId="201FC1F7" w:rsidR="00624052" w:rsidRPr="00624052" w:rsidRDefault="00624052" w:rsidP="00355429">
      <w:pPr>
        <w:pStyle w:val="Heading1"/>
      </w:pPr>
      <w:r>
        <w:lastRenderedPageBreak/>
        <w:t>9</w:t>
      </w:r>
      <w:r w:rsidRPr="00624052">
        <w:t>. Monitoring, Evaluation and Learning</w:t>
      </w:r>
    </w:p>
    <w:p w14:paraId="1486795E" w14:textId="77777777" w:rsidR="00624052" w:rsidRPr="00624052" w:rsidRDefault="00624052" w:rsidP="00624052">
      <w:pPr>
        <w:spacing w:line="278" w:lineRule="auto"/>
      </w:pPr>
      <w:r w:rsidRPr="00624052">
        <w:rPr>
          <w:b/>
          <w:bCs/>
        </w:rPr>
        <w:t>Ongoing Evaluation Should Include:</w:t>
      </w:r>
    </w:p>
    <w:p w14:paraId="05EAD375" w14:textId="77777777" w:rsidR="00624052" w:rsidRPr="00624052" w:rsidRDefault="00624052" w:rsidP="00624052">
      <w:pPr>
        <w:numPr>
          <w:ilvl w:val="0"/>
          <w:numId w:val="16"/>
        </w:numPr>
        <w:spacing w:line="278" w:lineRule="auto"/>
      </w:pPr>
      <w:r w:rsidRPr="00624052">
        <w:t>Number of one-to-one sessions, group activities, and outreach engagements</w:t>
      </w:r>
    </w:p>
    <w:p w14:paraId="1CBEEDD9" w14:textId="77777777" w:rsidR="00624052" w:rsidRPr="00624052" w:rsidRDefault="00624052" w:rsidP="00624052">
      <w:pPr>
        <w:numPr>
          <w:ilvl w:val="0"/>
          <w:numId w:val="16"/>
        </w:numPr>
        <w:spacing w:line="278" w:lineRule="auto"/>
      </w:pPr>
      <w:r w:rsidRPr="00624052">
        <w:t>Qualitative feedback from young people, youth workers, and the WW</w:t>
      </w:r>
    </w:p>
    <w:p w14:paraId="63B7561A" w14:textId="77777777" w:rsidR="00624052" w:rsidRPr="00624052" w:rsidRDefault="00624052" w:rsidP="00624052">
      <w:pPr>
        <w:numPr>
          <w:ilvl w:val="0"/>
          <w:numId w:val="16"/>
        </w:numPr>
        <w:spacing w:line="278" w:lineRule="auto"/>
      </w:pPr>
      <w:r w:rsidRPr="00624052">
        <w:t>Themes arising from clinical supervision (anonymised)</w:t>
      </w:r>
    </w:p>
    <w:p w14:paraId="0B6F0D19" w14:textId="77777777" w:rsidR="00624052" w:rsidRPr="00624052" w:rsidRDefault="00624052" w:rsidP="00624052">
      <w:pPr>
        <w:numPr>
          <w:ilvl w:val="0"/>
          <w:numId w:val="16"/>
        </w:numPr>
        <w:spacing w:line="278" w:lineRule="auto"/>
      </w:pPr>
      <w:r w:rsidRPr="00624052">
        <w:t>Changes in how young people use the service (e.g., return rates, self-referrals)</w:t>
      </w:r>
    </w:p>
    <w:p w14:paraId="3E562FE7" w14:textId="77777777" w:rsidR="00624052" w:rsidRPr="00624052" w:rsidRDefault="00624052" w:rsidP="00624052">
      <w:pPr>
        <w:spacing w:line="278" w:lineRule="auto"/>
      </w:pPr>
      <w:r w:rsidRPr="00624052">
        <w:rPr>
          <w:b/>
          <w:bCs/>
        </w:rPr>
        <w:t>Suggested Evaluation Tools:</w:t>
      </w:r>
    </w:p>
    <w:p w14:paraId="0B789720" w14:textId="77777777" w:rsidR="00624052" w:rsidRPr="00624052" w:rsidRDefault="00624052" w:rsidP="00624052">
      <w:pPr>
        <w:numPr>
          <w:ilvl w:val="0"/>
          <w:numId w:val="17"/>
        </w:numPr>
        <w:spacing w:line="278" w:lineRule="auto"/>
      </w:pPr>
      <w:r w:rsidRPr="00624052">
        <w:t>Feedback forms (designed with young people)</w:t>
      </w:r>
    </w:p>
    <w:p w14:paraId="2C4A50D0" w14:textId="77777777" w:rsidR="00624052" w:rsidRPr="00624052" w:rsidRDefault="00624052" w:rsidP="00624052">
      <w:pPr>
        <w:numPr>
          <w:ilvl w:val="0"/>
          <w:numId w:val="17"/>
        </w:numPr>
        <w:spacing w:line="278" w:lineRule="auto"/>
      </w:pPr>
      <w:r w:rsidRPr="00624052">
        <w:t>Case reflections (with youth workers)</w:t>
      </w:r>
    </w:p>
    <w:p w14:paraId="3A0AF927" w14:textId="77777777" w:rsidR="00624052" w:rsidRPr="00624052" w:rsidRDefault="00624052" w:rsidP="00624052">
      <w:pPr>
        <w:numPr>
          <w:ilvl w:val="0"/>
          <w:numId w:val="17"/>
        </w:numPr>
        <w:spacing w:line="278" w:lineRule="auto"/>
      </w:pPr>
      <w:r w:rsidRPr="00624052">
        <w:t>Session logs (light-touch)</w:t>
      </w:r>
    </w:p>
    <w:p w14:paraId="520532D8" w14:textId="77777777" w:rsidR="00624052" w:rsidRDefault="00624052" w:rsidP="00624052">
      <w:pPr>
        <w:numPr>
          <w:ilvl w:val="0"/>
          <w:numId w:val="17"/>
        </w:numPr>
      </w:pPr>
      <w:r w:rsidRPr="00624052">
        <w:t>End-of-year interviews or focus groups</w:t>
      </w:r>
    </w:p>
    <w:p w14:paraId="5A5F2C83" w14:textId="77777777" w:rsidR="00355429" w:rsidRDefault="00355429" w:rsidP="00355429">
      <w:pPr>
        <w:ind w:left="720"/>
      </w:pPr>
    </w:p>
    <w:p w14:paraId="7DD7DD14" w14:textId="0601768F" w:rsidR="00624052" w:rsidRPr="00624052" w:rsidRDefault="00624052" w:rsidP="00355429">
      <w:pPr>
        <w:pStyle w:val="Heading1"/>
      </w:pPr>
      <w:r>
        <w:t>10</w:t>
      </w:r>
      <w:r w:rsidRPr="00624052">
        <w:t>. Professional Development and Supervision</w:t>
      </w:r>
    </w:p>
    <w:p w14:paraId="5D49471E" w14:textId="77777777" w:rsidR="00624052" w:rsidRPr="00F543C9" w:rsidRDefault="00624052" w:rsidP="00624052">
      <w:pPr>
        <w:numPr>
          <w:ilvl w:val="0"/>
          <w:numId w:val="18"/>
        </w:numPr>
        <w:spacing w:line="278" w:lineRule="auto"/>
        <w:rPr>
          <w:color w:val="000000" w:themeColor="text1"/>
        </w:rPr>
      </w:pPr>
      <w:r w:rsidRPr="00F543C9">
        <w:rPr>
          <w:color w:val="000000" w:themeColor="text1"/>
        </w:rPr>
        <w:t>Monthly external clinical supervision is essential</w:t>
      </w:r>
    </w:p>
    <w:p w14:paraId="1F716684" w14:textId="3866D4DA" w:rsidR="004B3947" w:rsidRPr="00F543C9" w:rsidRDefault="004B3947" w:rsidP="00624052">
      <w:pPr>
        <w:numPr>
          <w:ilvl w:val="0"/>
          <w:numId w:val="18"/>
        </w:numPr>
        <w:spacing w:line="278" w:lineRule="auto"/>
        <w:rPr>
          <w:color w:val="000000" w:themeColor="text1"/>
        </w:rPr>
      </w:pPr>
      <w:r w:rsidRPr="00F543C9">
        <w:rPr>
          <w:color w:val="000000" w:themeColor="text1"/>
        </w:rPr>
        <w:t>Monthly supervision and support sessions with CCRAS Team Leader</w:t>
      </w:r>
    </w:p>
    <w:p w14:paraId="5F3A37AB" w14:textId="2A966BDD" w:rsidR="00624052" w:rsidRPr="00F543C9" w:rsidRDefault="004B3947" w:rsidP="00624052">
      <w:pPr>
        <w:numPr>
          <w:ilvl w:val="0"/>
          <w:numId w:val="18"/>
        </w:numPr>
        <w:spacing w:line="278" w:lineRule="auto"/>
        <w:rPr>
          <w:color w:val="000000" w:themeColor="text1"/>
        </w:rPr>
      </w:pPr>
      <w:r w:rsidRPr="00F543C9">
        <w:rPr>
          <w:color w:val="000000" w:themeColor="text1"/>
        </w:rPr>
        <w:t>Quarterly</w:t>
      </w:r>
      <w:r w:rsidR="00624052" w:rsidRPr="00F543C9">
        <w:rPr>
          <w:color w:val="000000" w:themeColor="text1"/>
        </w:rPr>
        <w:t xml:space="preserve"> support or check-ins with project managers</w:t>
      </w:r>
    </w:p>
    <w:p w14:paraId="577678EE" w14:textId="77777777" w:rsidR="00624052" w:rsidRPr="00624052" w:rsidRDefault="00624052" w:rsidP="00624052">
      <w:pPr>
        <w:numPr>
          <w:ilvl w:val="0"/>
          <w:numId w:val="18"/>
        </w:numPr>
        <w:spacing w:line="278" w:lineRule="auto"/>
      </w:pPr>
      <w:r w:rsidRPr="00624052">
        <w:t>Quarterly collective reviews with all involved services (if cross-site)</w:t>
      </w:r>
    </w:p>
    <w:p w14:paraId="770A2C2F" w14:textId="499FB6FB" w:rsidR="00624052" w:rsidRDefault="00624052" w:rsidP="00624052">
      <w:pPr>
        <w:numPr>
          <w:ilvl w:val="0"/>
          <w:numId w:val="18"/>
        </w:numPr>
        <w:spacing w:line="278" w:lineRule="auto"/>
      </w:pPr>
      <w:r w:rsidRPr="00624052">
        <w:t>Access to CPD on trauma, addiction, intersectionality, grou</w:t>
      </w:r>
      <w:r w:rsidR="00355429">
        <w:t>p</w:t>
      </w:r>
      <w:r w:rsidRPr="00624052">
        <w:t xml:space="preserve"> and youth work</w:t>
      </w:r>
    </w:p>
    <w:p w14:paraId="0F2A795A" w14:textId="77777777" w:rsidR="00936327" w:rsidRPr="00624052" w:rsidRDefault="00936327" w:rsidP="00936327">
      <w:pPr>
        <w:spacing w:line="278" w:lineRule="auto"/>
        <w:ind w:left="720"/>
      </w:pPr>
    </w:p>
    <w:p w14:paraId="346C4F4D" w14:textId="5D3A81C4" w:rsidR="00624052" w:rsidRPr="00624052" w:rsidRDefault="00624052" w:rsidP="00355429">
      <w:pPr>
        <w:pStyle w:val="Heading1"/>
      </w:pPr>
      <w:r w:rsidRPr="00624052">
        <w:t>1</w:t>
      </w:r>
      <w:r>
        <w:t>1</w:t>
      </w:r>
      <w:r w:rsidR="00936327">
        <w:t xml:space="preserve">. </w:t>
      </w:r>
      <w:r w:rsidRPr="00624052">
        <w:t>Key Messages</w:t>
      </w:r>
    </w:p>
    <w:p w14:paraId="632C7CF7" w14:textId="77777777" w:rsidR="00936327" w:rsidRDefault="00936327" w:rsidP="00355429"/>
    <w:p w14:paraId="71C7FC3B" w14:textId="2891245B" w:rsidR="00624052" w:rsidRPr="00624052" w:rsidRDefault="00624052" w:rsidP="00355429">
      <w:r w:rsidRPr="00624052">
        <w:t>The WW role fills a critical therapeutic gap within youth work settings, especially for young people facing complex challenges who are unlikely to access or benefit from traditional services. Its success relies not only on the qualifications of the worker, but on the approach taken:</w:t>
      </w:r>
      <w:r w:rsidR="00355429">
        <w:t xml:space="preserve"> </w:t>
      </w:r>
      <w:r w:rsidRPr="00624052">
        <w:t>Embedded,</w:t>
      </w:r>
      <w:r w:rsidR="00355429">
        <w:t xml:space="preserve"> t</w:t>
      </w:r>
      <w:r w:rsidRPr="00624052">
        <w:t>herapeutic, youth-friendly</w:t>
      </w:r>
      <w:r w:rsidR="00355429">
        <w:t>, f</w:t>
      </w:r>
      <w:r w:rsidRPr="00624052">
        <w:t>lexible</w:t>
      </w:r>
      <w:r w:rsidR="00355429">
        <w:t xml:space="preserve"> and relational.</w:t>
      </w:r>
    </w:p>
    <w:p w14:paraId="2024564D" w14:textId="4F5576BA" w:rsidR="00624052" w:rsidRPr="00624052" w:rsidRDefault="00624052" w:rsidP="00624052">
      <w:pPr>
        <w:spacing w:line="278" w:lineRule="auto"/>
      </w:pPr>
      <w:r w:rsidRPr="00624052">
        <w:t>This framework should be used alongside internal service discussions to adapt the role to the local context while staying true to its core values and learning from the CCRAS pilot</w:t>
      </w:r>
      <w:r w:rsidR="00355429">
        <w:t xml:space="preserve"> evaluation. </w:t>
      </w:r>
    </w:p>
    <w:p w14:paraId="3C91352F" w14:textId="77777777" w:rsidR="00624052" w:rsidRPr="00624052" w:rsidRDefault="00624052" w:rsidP="00624052">
      <w:pPr>
        <w:spacing w:line="278" w:lineRule="auto"/>
      </w:pPr>
    </w:p>
    <w:p w14:paraId="2128DFFE" w14:textId="77777777" w:rsidR="00624052" w:rsidRPr="00E476D4" w:rsidRDefault="00624052" w:rsidP="00E476D4">
      <w:pPr>
        <w:spacing w:line="278" w:lineRule="auto"/>
      </w:pPr>
    </w:p>
    <w:sectPr w:rsidR="00624052" w:rsidRPr="00E476D4" w:rsidSect="0030404E">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6065" w14:textId="77777777" w:rsidR="00641BE7" w:rsidRDefault="00641BE7" w:rsidP="0030404E">
      <w:pPr>
        <w:spacing w:after="0" w:line="240" w:lineRule="auto"/>
      </w:pPr>
      <w:r>
        <w:separator/>
      </w:r>
    </w:p>
  </w:endnote>
  <w:endnote w:type="continuationSeparator" w:id="0">
    <w:p w14:paraId="4B20FCF0" w14:textId="77777777" w:rsidR="00641BE7" w:rsidRDefault="00641BE7" w:rsidP="0030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1DC6" w14:textId="77777777" w:rsidR="00641BE7" w:rsidRDefault="00641BE7" w:rsidP="0030404E">
      <w:pPr>
        <w:spacing w:after="0" w:line="240" w:lineRule="auto"/>
      </w:pPr>
      <w:r>
        <w:separator/>
      </w:r>
    </w:p>
  </w:footnote>
  <w:footnote w:type="continuationSeparator" w:id="0">
    <w:p w14:paraId="1D831E62" w14:textId="77777777" w:rsidR="00641BE7" w:rsidRDefault="00641BE7" w:rsidP="0030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2F84" w14:textId="1EC2B105" w:rsidR="0030404E" w:rsidRPr="0030404E" w:rsidRDefault="0030404E" w:rsidP="0030404E">
    <w:pPr>
      <w:pStyle w:val="Header"/>
      <w:jc w:val="right"/>
      <w:rPr>
        <w:color w:val="FFFFFF" w:themeColor="background1"/>
      </w:rPr>
    </w:pPr>
    <w:r>
      <w:rPr>
        <w:noProof/>
        <w:color w:val="FFFFFF" w:themeColor="background1"/>
      </w:rPr>
      <mc:AlternateContent>
        <mc:Choice Requires="wps">
          <w:drawing>
            <wp:anchor distT="0" distB="0" distL="114300" distR="114300" simplePos="0" relativeHeight="251659264" behindDoc="1" locked="0" layoutInCell="1" allowOverlap="1" wp14:anchorId="2E0DD559" wp14:editId="6985D71E">
              <wp:simplePos x="0" y="0"/>
              <wp:positionH relativeFrom="page">
                <wp:align>right</wp:align>
              </wp:positionH>
              <wp:positionV relativeFrom="paragraph">
                <wp:posOffset>-449036</wp:posOffset>
              </wp:positionV>
              <wp:extent cx="7532914" cy="642257"/>
              <wp:effectExtent l="0" t="0" r="11430" b="24765"/>
              <wp:wrapNone/>
              <wp:docPr id="896857017" name="Rectangle 2"/>
              <wp:cNvGraphicFramePr/>
              <a:graphic xmlns:a="http://schemas.openxmlformats.org/drawingml/2006/main">
                <a:graphicData uri="http://schemas.microsoft.com/office/word/2010/wordprocessingShape">
                  <wps:wsp>
                    <wps:cNvSpPr/>
                    <wps:spPr>
                      <a:xfrm>
                        <a:off x="0" y="0"/>
                        <a:ext cx="7532914" cy="642257"/>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25B4A" id="Rectangle 2" o:spid="_x0000_s1026" style="position:absolute;margin-left:541.95pt;margin-top:-35.35pt;width:593.15pt;height:50.55pt;z-index:-25165721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" fillcolor="#e97132 [3205]" strokecolor="#e97132 [3205]" strokeweight="1.5pt">
              <w10:wrap anchorx="page"/>
            </v:rect>
          </w:pict>
        </mc:Fallback>
      </mc:AlternateContent>
    </w:r>
    <w:r w:rsidRPr="0030404E">
      <w:rPr>
        <w:color w:val="FFFFFF" w:themeColor="background1"/>
      </w:rPr>
      <w:t>Wellbeing Worker Role Framework</w:t>
    </w:r>
  </w:p>
  <w:p w14:paraId="6FB42082" w14:textId="19B4BE4C" w:rsidR="0030404E" w:rsidRDefault="0030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17AF" w14:textId="00E55A2C" w:rsidR="0030404E" w:rsidRDefault="0030404E">
    <w:pPr>
      <w:pStyle w:val="Header"/>
    </w:pPr>
    <w:r>
      <w:rPr>
        <w:noProof/>
        <w:color w:val="FFFFFF" w:themeColor="background1"/>
      </w:rPr>
      <mc:AlternateContent>
        <mc:Choice Requires="wps">
          <w:drawing>
            <wp:anchor distT="0" distB="0" distL="114300" distR="114300" simplePos="0" relativeHeight="251661312" behindDoc="1" locked="0" layoutInCell="1" allowOverlap="1" wp14:anchorId="79C10C98" wp14:editId="0DEC4B3B">
              <wp:simplePos x="0" y="0"/>
              <wp:positionH relativeFrom="page">
                <wp:align>right</wp:align>
              </wp:positionH>
              <wp:positionV relativeFrom="paragraph">
                <wp:posOffset>-425178</wp:posOffset>
              </wp:positionV>
              <wp:extent cx="7532914" cy="642257"/>
              <wp:effectExtent l="0" t="0" r="11430" b="24765"/>
              <wp:wrapNone/>
              <wp:docPr id="1000168929" name="Rectangle 2"/>
              <wp:cNvGraphicFramePr/>
              <a:graphic xmlns:a="http://schemas.openxmlformats.org/drawingml/2006/main">
                <a:graphicData uri="http://schemas.microsoft.com/office/word/2010/wordprocessingShape">
                  <wps:wsp>
                    <wps:cNvSpPr/>
                    <wps:spPr>
                      <a:xfrm>
                        <a:off x="0" y="0"/>
                        <a:ext cx="7532914" cy="642257"/>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48215" id="Rectangle 2" o:spid="_x0000_s1026" style="position:absolute;margin-left:541.95pt;margin-top:-33.5pt;width:593.15pt;height:50.55pt;z-index:-25165516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" fillcolor="#e97132 [3205]" strokecolor="#e97132 [3205]" strokeweight="1.5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F89"/>
    <w:multiLevelType w:val="multilevel"/>
    <w:tmpl w:val="C00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C67D5"/>
    <w:multiLevelType w:val="multilevel"/>
    <w:tmpl w:val="508E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43D0"/>
    <w:multiLevelType w:val="multilevel"/>
    <w:tmpl w:val="65E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21B8"/>
    <w:multiLevelType w:val="multilevel"/>
    <w:tmpl w:val="8DF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B1B49"/>
    <w:multiLevelType w:val="multilevel"/>
    <w:tmpl w:val="EF6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80C6B"/>
    <w:multiLevelType w:val="multilevel"/>
    <w:tmpl w:val="530A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63698"/>
    <w:multiLevelType w:val="multilevel"/>
    <w:tmpl w:val="300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41F29"/>
    <w:multiLevelType w:val="multilevel"/>
    <w:tmpl w:val="49B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57487"/>
    <w:multiLevelType w:val="multilevel"/>
    <w:tmpl w:val="645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66570"/>
    <w:multiLevelType w:val="multilevel"/>
    <w:tmpl w:val="74A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653B0"/>
    <w:multiLevelType w:val="multilevel"/>
    <w:tmpl w:val="C198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A2F8D"/>
    <w:multiLevelType w:val="multilevel"/>
    <w:tmpl w:val="FDD0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E3A02"/>
    <w:multiLevelType w:val="multilevel"/>
    <w:tmpl w:val="235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65047"/>
    <w:multiLevelType w:val="multilevel"/>
    <w:tmpl w:val="15E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1063C"/>
    <w:multiLevelType w:val="multilevel"/>
    <w:tmpl w:val="C55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56E6B"/>
    <w:multiLevelType w:val="multilevel"/>
    <w:tmpl w:val="7E9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60478"/>
    <w:multiLevelType w:val="multilevel"/>
    <w:tmpl w:val="2DA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67CE1"/>
    <w:multiLevelType w:val="multilevel"/>
    <w:tmpl w:val="100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D07C4"/>
    <w:multiLevelType w:val="multilevel"/>
    <w:tmpl w:val="2C3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A141C4"/>
    <w:multiLevelType w:val="multilevel"/>
    <w:tmpl w:val="88E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37AC3"/>
    <w:multiLevelType w:val="multilevel"/>
    <w:tmpl w:val="C4B0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D3EC2"/>
    <w:multiLevelType w:val="multilevel"/>
    <w:tmpl w:val="C8B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03B09"/>
    <w:multiLevelType w:val="multilevel"/>
    <w:tmpl w:val="0628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026BE"/>
    <w:multiLevelType w:val="multilevel"/>
    <w:tmpl w:val="E734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443442">
    <w:abstractNumId w:val="20"/>
  </w:num>
  <w:num w:numId="2" w16cid:durableId="1642494394">
    <w:abstractNumId w:val="12"/>
  </w:num>
  <w:num w:numId="3" w16cid:durableId="372657313">
    <w:abstractNumId w:val="11"/>
  </w:num>
  <w:num w:numId="4" w16cid:durableId="291207031">
    <w:abstractNumId w:val="4"/>
  </w:num>
  <w:num w:numId="5" w16cid:durableId="714893662">
    <w:abstractNumId w:val="16"/>
  </w:num>
  <w:num w:numId="6" w16cid:durableId="808133113">
    <w:abstractNumId w:val="7"/>
  </w:num>
  <w:num w:numId="7" w16cid:durableId="241990556">
    <w:abstractNumId w:val="22"/>
  </w:num>
  <w:num w:numId="8" w16cid:durableId="465657803">
    <w:abstractNumId w:val="23"/>
  </w:num>
  <w:num w:numId="9" w16cid:durableId="596333672">
    <w:abstractNumId w:val="10"/>
  </w:num>
  <w:num w:numId="10" w16cid:durableId="1429812352">
    <w:abstractNumId w:val="14"/>
  </w:num>
  <w:num w:numId="11" w16cid:durableId="636420995">
    <w:abstractNumId w:val="8"/>
  </w:num>
  <w:num w:numId="12" w16cid:durableId="995063152">
    <w:abstractNumId w:val="6"/>
  </w:num>
  <w:num w:numId="13" w16cid:durableId="1156187255">
    <w:abstractNumId w:val="1"/>
  </w:num>
  <w:num w:numId="14" w16cid:durableId="1722703311">
    <w:abstractNumId w:val="18"/>
  </w:num>
  <w:num w:numId="15" w16cid:durableId="554007468">
    <w:abstractNumId w:val="5"/>
  </w:num>
  <w:num w:numId="16" w16cid:durableId="601378213">
    <w:abstractNumId w:val="17"/>
  </w:num>
  <w:num w:numId="17" w16cid:durableId="79108587">
    <w:abstractNumId w:val="19"/>
  </w:num>
  <w:num w:numId="18" w16cid:durableId="1124496656">
    <w:abstractNumId w:val="9"/>
  </w:num>
  <w:num w:numId="19" w16cid:durableId="1087116128">
    <w:abstractNumId w:val="3"/>
  </w:num>
  <w:num w:numId="20" w16cid:durableId="855925868">
    <w:abstractNumId w:val="0"/>
  </w:num>
  <w:num w:numId="21" w16cid:durableId="951323691">
    <w:abstractNumId w:val="13"/>
  </w:num>
  <w:num w:numId="22" w16cid:durableId="967734589">
    <w:abstractNumId w:val="2"/>
  </w:num>
  <w:num w:numId="23" w16cid:durableId="1168861160">
    <w:abstractNumId w:val="15"/>
  </w:num>
  <w:num w:numId="24" w16cid:durableId="1041706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D4"/>
    <w:rsid w:val="000A0ED1"/>
    <w:rsid w:val="000C380C"/>
    <w:rsid w:val="00234348"/>
    <w:rsid w:val="002E1C4E"/>
    <w:rsid w:val="0030404E"/>
    <w:rsid w:val="003509A4"/>
    <w:rsid w:val="00355429"/>
    <w:rsid w:val="00456A94"/>
    <w:rsid w:val="004B3947"/>
    <w:rsid w:val="00624052"/>
    <w:rsid w:val="00641BE7"/>
    <w:rsid w:val="006A20C2"/>
    <w:rsid w:val="007C5B56"/>
    <w:rsid w:val="00807CAB"/>
    <w:rsid w:val="00896955"/>
    <w:rsid w:val="008E0476"/>
    <w:rsid w:val="00936327"/>
    <w:rsid w:val="009E64A5"/>
    <w:rsid w:val="00A21019"/>
    <w:rsid w:val="00A90FB1"/>
    <w:rsid w:val="00AA675F"/>
    <w:rsid w:val="00AC02BA"/>
    <w:rsid w:val="00BF1086"/>
    <w:rsid w:val="00E476D4"/>
    <w:rsid w:val="00F543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FF870"/>
  <w15:chartTrackingRefBased/>
  <w15:docId w15:val="{AAED37A7-9E1D-4921-A910-90A75A1B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27"/>
  </w:style>
  <w:style w:type="paragraph" w:styleId="Heading1">
    <w:name w:val="heading 1"/>
    <w:basedOn w:val="Normal"/>
    <w:next w:val="Normal"/>
    <w:link w:val="Heading1Char"/>
    <w:uiPriority w:val="9"/>
    <w:qFormat/>
    <w:rsid w:val="00936327"/>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936327"/>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semiHidden/>
    <w:unhideWhenUsed/>
    <w:qFormat/>
    <w:rsid w:val="00936327"/>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936327"/>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936327"/>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936327"/>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936327"/>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936327"/>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936327"/>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2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936327"/>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semiHidden/>
    <w:rsid w:val="00936327"/>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936327"/>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936327"/>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936327"/>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936327"/>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936327"/>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936327"/>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93632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3632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3632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36327"/>
    <w:rPr>
      <w:caps/>
      <w:color w:val="404040" w:themeColor="text1" w:themeTint="BF"/>
      <w:spacing w:val="20"/>
      <w:sz w:val="28"/>
      <w:szCs w:val="28"/>
    </w:rPr>
  </w:style>
  <w:style w:type="paragraph" w:styleId="Quote">
    <w:name w:val="Quote"/>
    <w:basedOn w:val="Normal"/>
    <w:next w:val="Normal"/>
    <w:link w:val="QuoteChar"/>
    <w:uiPriority w:val="29"/>
    <w:qFormat/>
    <w:rsid w:val="0093632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36327"/>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E476D4"/>
    <w:pPr>
      <w:ind w:left="720"/>
      <w:contextualSpacing/>
    </w:pPr>
  </w:style>
  <w:style w:type="character" w:styleId="IntenseEmphasis">
    <w:name w:val="Intense Emphasis"/>
    <w:basedOn w:val="DefaultParagraphFont"/>
    <w:uiPriority w:val="21"/>
    <w:qFormat/>
    <w:rsid w:val="00936327"/>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936327"/>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36327"/>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936327"/>
    <w:rPr>
      <w:b/>
      <w:bCs/>
      <w:caps w:val="0"/>
      <w:smallCaps/>
      <w:color w:val="auto"/>
      <w:spacing w:val="0"/>
      <w:u w:val="single"/>
    </w:rPr>
  </w:style>
  <w:style w:type="paragraph" w:styleId="NormalWeb">
    <w:name w:val="Normal (Web)"/>
    <w:basedOn w:val="Normal"/>
    <w:uiPriority w:val="99"/>
    <w:semiHidden/>
    <w:unhideWhenUsed/>
    <w:rsid w:val="00E476D4"/>
    <w:rPr>
      <w:rFonts w:ascii="Times New Roman" w:hAnsi="Times New Roman" w:cs="Times New Roman"/>
    </w:rPr>
  </w:style>
  <w:style w:type="paragraph" w:styleId="Caption">
    <w:name w:val="caption"/>
    <w:basedOn w:val="Normal"/>
    <w:next w:val="Normal"/>
    <w:uiPriority w:val="35"/>
    <w:semiHidden/>
    <w:unhideWhenUsed/>
    <w:qFormat/>
    <w:rsid w:val="00936327"/>
    <w:pPr>
      <w:spacing w:line="240" w:lineRule="auto"/>
    </w:pPr>
    <w:rPr>
      <w:b/>
      <w:bCs/>
      <w:color w:val="404040" w:themeColor="text1" w:themeTint="BF"/>
      <w:sz w:val="16"/>
      <w:szCs w:val="16"/>
    </w:rPr>
  </w:style>
  <w:style w:type="character" w:styleId="Strong">
    <w:name w:val="Strong"/>
    <w:basedOn w:val="DefaultParagraphFont"/>
    <w:uiPriority w:val="22"/>
    <w:qFormat/>
    <w:rsid w:val="00936327"/>
    <w:rPr>
      <w:b/>
      <w:bCs/>
    </w:rPr>
  </w:style>
  <w:style w:type="character" w:styleId="Emphasis">
    <w:name w:val="Emphasis"/>
    <w:basedOn w:val="DefaultParagraphFont"/>
    <w:uiPriority w:val="20"/>
    <w:qFormat/>
    <w:rsid w:val="00936327"/>
    <w:rPr>
      <w:i/>
      <w:iCs/>
      <w:color w:val="000000" w:themeColor="text1"/>
    </w:rPr>
  </w:style>
  <w:style w:type="paragraph" w:styleId="NoSpacing">
    <w:name w:val="No Spacing"/>
    <w:uiPriority w:val="1"/>
    <w:qFormat/>
    <w:rsid w:val="00936327"/>
    <w:pPr>
      <w:spacing w:after="0" w:line="240" w:lineRule="auto"/>
    </w:pPr>
  </w:style>
  <w:style w:type="character" w:styleId="SubtleEmphasis">
    <w:name w:val="Subtle Emphasis"/>
    <w:basedOn w:val="DefaultParagraphFont"/>
    <w:uiPriority w:val="19"/>
    <w:qFormat/>
    <w:rsid w:val="00936327"/>
    <w:rPr>
      <w:i/>
      <w:iCs/>
      <w:color w:val="595959" w:themeColor="text1" w:themeTint="A6"/>
    </w:rPr>
  </w:style>
  <w:style w:type="character" w:styleId="SubtleReference">
    <w:name w:val="Subtle Reference"/>
    <w:basedOn w:val="DefaultParagraphFont"/>
    <w:uiPriority w:val="31"/>
    <w:qFormat/>
    <w:rsid w:val="00936327"/>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936327"/>
    <w:rPr>
      <w:b/>
      <w:bCs/>
      <w:caps w:val="0"/>
      <w:smallCaps/>
      <w:spacing w:val="0"/>
    </w:rPr>
  </w:style>
  <w:style w:type="paragraph" w:styleId="TOCHeading">
    <w:name w:val="TOC Heading"/>
    <w:basedOn w:val="Heading1"/>
    <w:next w:val="Normal"/>
    <w:uiPriority w:val="39"/>
    <w:semiHidden/>
    <w:unhideWhenUsed/>
    <w:qFormat/>
    <w:rsid w:val="00936327"/>
    <w:pPr>
      <w:outlineLvl w:val="9"/>
    </w:pPr>
  </w:style>
  <w:style w:type="paragraph" w:styleId="Header">
    <w:name w:val="header"/>
    <w:basedOn w:val="Normal"/>
    <w:link w:val="HeaderChar"/>
    <w:uiPriority w:val="99"/>
    <w:unhideWhenUsed/>
    <w:rsid w:val="0030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4E"/>
  </w:style>
  <w:style w:type="paragraph" w:styleId="Footer">
    <w:name w:val="footer"/>
    <w:basedOn w:val="Normal"/>
    <w:link w:val="FooterChar"/>
    <w:uiPriority w:val="99"/>
    <w:unhideWhenUsed/>
    <w:rsid w:val="0030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7707">
      <w:bodyDiv w:val="1"/>
      <w:marLeft w:val="0"/>
      <w:marRight w:val="0"/>
      <w:marTop w:val="0"/>
      <w:marBottom w:val="0"/>
      <w:divBdr>
        <w:top w:val="none" w:sz="0" w:space="0" w:color="auto"/>
        <w:left w:val="none" w:sz="0" w:space="0" w:color="auto"/>
        <w:bottom w:val="none" w:sz="0" w:space="0" w:color="auto"/>
        <w:right w:val="none" w:sz="0" w:space="0" w:color="auto"/>
      </w:divBdr>
      <w:divsChild>
        <w:div w:id="1153714031">
          <w:marLeft w:val="0"/>
          <w:marRight w:val="0"/>
          <w:marTop w:val="0"/>
          <w:marBottom w:val="0"/>
          <w:divBdr>
            <w:top w:val="none" w:sz="0" w:space="0" w:color="auto"/>
            <w:left w:val="none" w:sz="0" w:space="0" w:color="auto"/>
            <w:bottom w:val="none" w:sz="0" w:space="0" w:color="auto"/>
            <w:right w:val="none" w:sz="0" w:space="0" w:color="auto"/>
          </w:divBdr>
        </w:div>
      </w:divsChild>
    </w:div>
    <w:div w:id="145129188">
      <w:bodyDiv w:val="1"/>
      <w:marLeft w:val="0"/>
      <w:marRight w:val="0"/>
      <w:marTop w:val="0"/>
      <w:marBottom w:val="0"/>
      <w:divBdr>
        <w:top w:val="none" w:sz="0" w:space="0" w:color="auto"/>
        <w:left w:val="none" w:sz="0" w:space="0" w:color="auto"/>
        <w:bottom w:val="none" w:sz="0" w:space="0" w:color="auto"/>
        <w:right w:val="none" w:sz="0" w:space="0" w:color="auto"/>
      </w:divBdr>
    </w:div>
    <w:div w:id="171843049">
      <w:bodyDiv w:val="1"/>
      <w:marLeft w:val="0"/>
      <w:marRight w:val="0"/>
      <w:marTop w:val="0"/>
      <w:marBottom w:val="0"/>
      <w:divBdr>
        <w:top w:val="none" w:sz="0" w:space="0" w:color="auto"/>
        <w:left w:val="none" w:sz="0" w:space="0" w:color="auto"/>
        <w:bottom w:val="none" w:sz="0" w:space="0" w:color="auto"/>
        <w:right w:val="none" w:sz="0" w:space="0" w:color="auto"/>
      </w:divBdr>
    </w:div>
    <w:div w:id="184682527">
      <w:bodyDiv w:val="1"/>
      <w:marLeft w:val="0"/>
      <w:marRight w:val="0"/>
      <w:marTop w:val="0"/>
      <w:marBottom w:val="0"/>
      <w:divBdr>
        <w:top w:val="none" w:sz="0" w:space="0" w:color="auto"/>
        <w:left w:val="none" w:sz="0" w:space="0" w:color="auto"/>
        <w:bottom w:val="none" w:sz="0" w:space="0" w:color="auto"/>
        <w:right w:val="none" w:sz="0" w:space="0" w:color="auto"/>
      </w:divBdr>
    </w:div>
    <w:div w:id="213322247">
      <w:bodyDiv w:val="1"/>
      <w:marLeft w:val="0"/>
      <w:marRight w:val="0"/>
      <w:marTop w:val="0"/>
      <w:marBottom w:val="0"/>
      <w:divBdr>
        <w:top w:val="none" w:sz="0" w:space="0" w:color="auto"/>
        <w:left w:val="none" w:sz="0" w:space="0" w:color="auto"/>
        <w:bottom w:val="none" w:sz="0" w:space="0" w:color="auto"/>
        <w:right w:val="none" w:sz="0" w:space="0" w:color="auto"/>
      </w:divBdr>
      <w:divsChild>
        <w:div w:id="669910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62785">
      <w:bodyDiv w:val="1"/>
      <w:marLeft w:val="0"/>
      <w:marRight w:val="0"/>
      <w:marTop w:val="0"/>
      <w:marBottom w:val="0"/>
      <w:divBdr>
        <w:top w:val="none" w:sz="0" w:space="0" w:color="auto"/>
        <w:left w:val="none" w:sz="0" w:space="0" w:color="auto"/>
        <w:bottom w:val="none" w:sz="0" w:space="0" w:color="auto"/>
        <w:right w:val="none" w:sz="0" w:space="0" w:color="auto"/>
      </w:divBdr>
    </w:div>
    <w:div w:id="221330145">
      <w:bodyDiv w:val="1"/>
      <w:marLeft w:val="0"/>
      <w:marRight w:val="0"/>
      <w:marTop w:val="0"/>
      <w:marBottom w:val="0"/>
      <w:divBdr>
        <w:top w:val="none" w:sz="0" w:space="0" w:color="auto"/>
        <w:left w:val="none" w:sz="0" w:space="0" w:color="auto"/>
        <w:bottom w:val="none" w:sz="0" w:space="0" w:color="auto"/>
        <w:right w:val="none" w:sz="0" w:space="0" w:color="auto"/>
      </w:divBdr>
    </w:div>
    <w:div w:id="261573962">
      <w:bodyDiv w:val="1"/>
      <w:marLeft w:val="0"/>
      <w:marRight w:val="0"/>
      <w:marTop w:val="0"/>
      <w:marBottom w:val="0"/>
      <w:divBdr>
        <w:top w:val="none" w:sz="0" w:space="0" w:color="auto"/>
        <w:left w:val="none" w:sz="0" w:space="0" w:color="auto"/>
        <w:bottom w:val="none" w:sz="0" w:space="0" w:color="auto"/>
        <w:right w:val="none" w:sz="0" w:space="0" w:color="auto"/>
      </w:divBdr>
      <w:divsChild>
        <w:div w:id="24060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430492">
      <w:bodyDiv w:val="1"/>
      <w:marLeft w:val="0"/>
      <w:marRight w:val="0"/>
      <w:marTop w:val="0"/>
      <w:marBottom w:val="0"/>
      <w:divBdr>
        <w:top w:val="none" w:sz="0" w:space="0" w:color="auto"/>
        <w:left w:val="none" w:sz="0" w:space="0" w:color="auto"/>
        <w:bottom w:val="none" w:sz="0" w:space="0" w:color="auto"/>
        <w:right w:val="none" w:sz="0" w:space="0" w:color="auto"/>
      </w:divBdr>
    </w:div>
    <w:div w:id="363285614">
      <w:bodyDiv w:val="1"/>
      <w:marLeft w:val="0"/>
      <w:marRight w:val="0"/>
      <w:marTop w:val="0"/>
      <w:marBottom w:val="0"/>
      <w:divBdr>
        <w:top w:val="none" w:sz="0" w:space="0" w:color="auto"/>
        <w:left w:val="none" w:sz="0" w:space="0" w:color="auto"/>
        <w:bottom w:val="none" w:sz="0" w:space="0" w:color="auto"/>
        <w:right w:val="none" w:sz="0" w:space="0" w:color="auto"/>
      </w:divBdr>
    </w:div>
    <w:div w:id="543904777">
      <w:bodyDiv w:val="1"/>
      <w:marLeft w:val="0"/>
      <w:marRight w:val="0"/>
      <w:marTop w:val="0"/>
      <w:marBottom w:val="0"/>
      <w:divBdr>
        <w:top w:val="none" w:sz="0" w:space="0" w:color="auto"/>
        <w:left w:val="none" w:sz="0" w:space="0" w:color="auto"/>
        <w:bottom w:val="none" w:sz="0" w:space="0" w:color="auto"/>
        <w:right w:val="none" w:sz="0" w:space="0" w:color="auto"/>
      </w:divBdr>
    </w:div>
    <w:div w:id="599487054">
      <w:bodyDiv w:val="1"/>
      <w:marLeft w:val="0"/>
      <w:marRight w:val="0"/>
      <w:marTop w:val="0"/>
      <w:marBottom w:val="0"/>
      <w:divBdr>
        <w:top w:val="none" w:sz="0" w:space="0" w:color="auto"/>
        <w:left w:val="none" w:sz="0" w:space="0" w:color="auto"/>
        <w:bottom w:val="none" w:sz="0" w:space="0" w:color="auto"/>
        <w:right w:val="none" w:sz="0" w:space="0" w:color="auto"/>
      </w:divBdr>
    </w:div>
    <w:div w:id="762991009">
      <w:bodyDiv w:val="1"/>
      <w:marLeft w:val="0"/>
      <w:marRight w:val="0"/>
      <w:marTop w:val="0"/>
      <w:marBottom w:val="0"/>
      <w:divBdr>
        <w:top w:val="none" w:sz="0" w:space="0" w:color="auto"/>
        <w:left w:val="none" w:sz="0" w:space="0" w:color="auto"/>
        <w:bottom w:val="none" w:sz="0" w:space="0" w:color="auto"/>
        <w:right w:val="none" w:sz="0" w:space="0" w:color="auto"/>
      </w:divBdr>
    </w:div>
    <w:div w:id="787433722">
      <w:bodyDiv w:val="1"/>
      <w:marLeft w:val="0"/>
      <w:marRight w:val="0"/>
      <w:marTop w:val="0"/>
      <w:marBottom w:val="0"/>
      <w:divBdr>
        <w:top w:val="none" w:sz="0" w:space="0" w:color="auto"/>
        <w:left w:val="none" w:sz="0" w:space="0" w:color="auto"/>
        <w:bottom w:val="none" w:sz="0" w:space="0" w:color="auto"/>
        <w:right w:val="none" w:sz="0" w:space="0" w:color="auto"/>
      </w:divBdr>
    </w:div>
    <w:div w:id="911965072">
      <w:bodyDiv w:val="1"/>
      <w:marLeft w:val="0"/>
      <w:marRight w:val="0"/>
      <w:marTop w:val="0"/>
      <w:marBottom w:val="0"/>
      <w:divBdr>
        <w:top w:val="none" w:sz="0" w:space="0" w:color="auto"/>
        <w:left w:val="none" w:sz="0" w:space="0" w:color="auto"/>
        <w:bottom w:val="none" w:sz="0" w:space="0" w:color="auto"/>
        <w:right w:val="none" w:sz="0" w:space="0" w:color="auto"/>
      </w:divBdr>
    </w:div>
    <w:div w:id="1042635343">
      <w:bodyDiv w:val="1"/>
      <w:marLeft w:val="0"/>
      <w:marRight w:val="0"/>
      <w:marTop w:val="0"/>
      <w:marBottom w:val="0"/>
      <w:divBdr>
        <w:top w:val="none" w:sz="0" w:space="0" w:color="auto"/>
        <w:left w:val="none" w:sz="0" w:space="0" w:color="auto"/>
        <w:bottom w:val="none" w:sz="0" w:space="0" w:color="auto"/>
        <w:right w:val="none" w:sz="0" w:space="0" w:color="auto"/>
      </w:divBdr>
    </w:div>
    <w:div w:id="1395153838">
      <w:bodyDiv w:val="1"/>
      <w:marLeft w:val="0"/>
      <w:marRight w:val="0"/>
      <w:marTop w:val="0"/>
      <w:marBottom w:val="0"/>
      <w:divBdr>
        <w:top w:val="none" w:sz="0" w:space="0" w:color="auto"/>
        <w:left w:val="none" w:sz="0" w:space="0" w:color="auto"/>
        <w:bottom w:val="none" w:sz="0" w:space="0" w:color="auto"/>
        <w:right w:val="none" w:sz="0" w:space="0" w:color="auto"/>
      </w:divBdr>
    </w:div>
    <w:div w:id="1408645272">
      <w:bodyDiv w:val="1"/>
      <w:marLeft w:val="0"/>
      <w:marRight w:val="0"/>
      <w:marTop w:val="0"/>
      <w:marBottom w:val="0"/>
      <w:divBdr>
        <w:top w:val="none" w:sz="0" w:space="0" w:color="auto"/>
        <w:left w:val="none" w:sz="0" w:space="0" w:color="auto"/>
        <w:bottom w:val="none" w:sz="0" w:space="0" w:color="auto"/>
        <w:right w:val="none" w:sz="0" w:space="0" w:color="auto"/>
      </w:divBdr>
    </w:div>
    <w:div w:id="1459881597">
      <w:bodyDiv w:val="1"/>
      <w:marLeft w:val="0"/>
      <w:marRight w:val="0"/>
      <w:marTop w:val="0"/>
      <w:marBottom w:val="0"/>
      <w:divBdr>
        <w:top w:val="none" w:sz="0" w:space="0" w:color="auto"/>
        <w:left w:val="none" w:sz="0" w:space="0" w:color="auto"/>
        <w:bottom w:val="none" w:sz="0" w:space="0" w:color="auto"/>
        <w:right w:val="none" w:sz="0" w:space="0" w:color="auto"/>
      </w:divBdr>
    </w:div>
    <w:div w:id="1497845011">
      <w:bodyDiv w:val="1"/>
      <w:marLeft w:val="0"/>
      <w:marRight w:val="0"/>
      <w:marTop w:val="0"/>
      <w:marBottom w:val="0"/>
      <w:divBdr>
        <w:top w:val="none" w:sz="0" w:space="0" w:color="auto"/>
        <w:left w:val="none" w:sz="0" w:space="0" w:color="auto"/>
        <w:bottom w:val="none" w:sz="0" w:space="0" w:color="auto"/>
        <w:right w:val="none" w:sz="0" w:space="0" w:color="auto"/>
      </w:divBdr>
    </w:div>
    <w:div w:id="1592659757">
      <w:bodyDiv w:val="1"/>
      <w:marLeft w:val="0"/>
      <w:marRight w:val="0"/>
      <w:marTop w:val="0"/>
      <w:marBottom w:val="0"/>
      <w:divBdr>
        <w:top w:val="none" w:sz="0" w:space="0" w:color="auto"/>
        <w:left w:val="none" w:sz="0" w:space="0" w:color="auto"/>
        <w:bottom w:val="none" w:sz="0" w:space="0" w:color="auto"/>
        <w:right w:val="none" w:sz="0" w:space="0" w:color="auto"/>
      </w:divBdr>
      <w:divsChild>
        <w:div w:id="2129813277">
          <w:marLeft w:val="0"/>
          <w:marRight w:val="0"/>
          <w:marTop w:val="0"/>
          <w:marBottom w:val="0"/>
          <w:divBdr>
            <w:top w:val="none" w:sz="0" w:space="0" w:color="auto"/>
            <w:left w:val="none" w:sz="0" w:space="0" w:color="auto"/>
            <w:bottom w:val="none" w:sz="0" w:space="0" w:color="auto"/>
            <w:right w:val="none" w:sz="0" w:space="0" w:color="auto"/>
          </w:divBdr>
        </w:div>
      </w:divsChild>
    </w:div>
    <w:div w:id="1624842067">
      <w:bodyDiv w:val="1"/>
      <w:marLeft w:val="0"/>
      <w:marRight w:val="0"/>
      <w:marTop w:val="0"/>
      <w:marBottom w:val="0"/>
      <w:divBdr>
        <w:top w:val="none" w:sz="0" w:space="0" w:color="auto"/>
        <w:left w:val="none" w:sz="0" w:space="0" w:color="auto"/>
        <w:bottom w:val="none" w:sz="0" w:space="0" w:color="auto"/>
        <w:right w:val="none" w:sz="0" w:space="0" w:color="auto"/>
      </w:divBdr>
    </w:div>
    <w:div w:id="1657537301">
      <w:bodyDiv w:val="1"/>
      <w:marLeft w:val="0"/>
      <w:marRight w:val="0"/>
      <w:marTop w:val="0"/>
      <w:marBottom w:val="0"/>
      <w:divBdr>
        <w:top w:val="none" w:sz="0" w:space="0" w:color="auto"/>
        <w:left w:val="none" w:sz="0" w:space="0" w:color="auto"/>
        <w:bottom w:val="none" w:sz="0" w:space="0" w:color="auto"/>
        <w:right w:val="none" w:sz="0" w:space="0" w:color="auto"/>
      </w:divBdr>
    </w:div>
    <w:div w:id="1680546598">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20341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 Connor</dc:creator>
  <cp:keywords/>
  <dc:description/>
  <cp:lastModifiedBy>CCRAS Manager</cp:lastModifiedBy>
  <cp:revision>3</cp:revision>
  <dcterms:created xsi:type="dcterms:W3CDTF">2025-06-17T18:28:00Z</dcterms:created>
  <dcterms:modified xsi:type="dcterms:W3CDTF">2025-06-17T18:29:00Z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e81a5630-8c2b-4d10-ba11-3d0386f846c2</vt:lpwstr>
  </property>
</Properties>
</file>