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AB6F" w14:textId="77777777" w:rsidR="0033455E" w:rsidRPr="0033455E" w:rsidRDefault="0033455E" w:rsidP="0033455E">
      <w:pPr>
        <w:rPr>
          <w:b/>
          <w:bCs/>
          <w:color w:val="7030A0"/>
          <w:sz w:val="28"/>
          <w:szCs w:val="28"/>
          <w:lang w:val="en-US"/>
        </w:rPr>
      </w:pPr>
      <w:r w:rsidRPr="0033455E">
        <w:rPr>
          <w:b/>
          <w:bCs/>
          <w:color w:val="7030A0"/>
          <w:sz w:val="28"/>
          <w:szCs w:val="28"/>
          <w:lang w:val="en-US"/>
        </w:rPr>
        <w:t>Invitation to Tender</w:t>
      </w:r>
    </w:p>
    <w:p w14:paraId="0482B22C" w14:textId="2F1C9AC2" w:rsidR="0033455E" w:rsidRPr="0033455E" w:rsidRDefault="0033455E" w:rsidP="0033455E">
      <w:pPr>
        <w:rPr>
          <w:sz w:val="28"/>
          <w:szCs w:val="28"/>
          <w:lang w:val="en-US"/>
        </w:rPr>
      </w:pPr>
      <w:r w:rsidRPr="0033455E">
        <w:rPr>
          <w:sz w:val="28"/>
          <w:szCs w:val="28"/>
          <w:lang w:val="en-US"/>
        </w:rPr>
        <w:t xml:space="preserve">Independent </w:t>
      </w:r>
      <w:r w:rsidR="00907A11">
        <w:rPr>
          <w:sz w:val="28"/>
          <w:szCs w:val="28"/>
          <w:lang w:val="en-US"/>
        </w:rPr>
        <w:t xml:space="preserve">review </w:t>
      </w:r>
      <w:r w:rsidRPr="0033455E">
        <w:rPr>
          <w:sz w:val="28"/>
          <w:szCs w:val="28"/>
          <w:lang w:val="en-US"/>
        </w:rPr>
        <w:t xml:space="preserve">of </w:t>
      </w:r>
      <w:r w:rsidR="00907A11">
        <w:rPr>
          <w:sz w:val="28"/>
          <w:szCs w:val="28"/>
          <w:lang w:val="en-US"/>
        </w:rPr>
        <w:t xml:space="preserve">DSGBV </w:t>
      </w:r>
      <w:r w:rsidRPr="0033455E">
        <w:rPr>
          <w:sz w:val="28"/>
          <w:szCs w:val="28"/>
          <w:lang w:val="en-US"/>
        </w:rPr>
        <w:t xml:space="preserve">Services </w:t>
      </w:r>
    </w:p>
    <w:p w14:paraId="24F9E43B" w14:textId="77777777" w:rsidR="0033455E" w:rsidRPr="0033455E" w:rsidRDefault="0033455E" w:rsidP="0033455E">
      <w:pPr>
        <w:rPr>
          <w:i/>
          <w:iCs/>
          <w:color w:val="E97132" w:themeColor="accent2"/>
          <w:sz w:val="28"/>
          <w:szCs w:val="28"/>
          <w:lang w:val="en-US"/>
        </w:rPr>
      </w:pPr>
      <w:r w:rsidRPr="0033455E">
        <w:rPr>
          <w:i/>
          <w:iCs/>
          <w:color w:val="E97132" w:themeColor="accent2"/>
          <w:sz w:val="28"/>
          <w:szCs w:val="28"/>
          <w:lang w:val="en-US"/>
        </w:rPr>
        <w:t xml:space="preserve">A.S.S.C. Accompaniment Support Services for Children </w:t>
      </w:r>
    </w:p>
    <w:p w14:paraId="21B55F49" w14:textId="7A98F3D7" w:rsidR="0033455E" w:rsidRPr="0033455E" w:rsidRDefault="0033455E" w:rsidP="0033455E">
      <w:pPr>
        <w:rPr>
          <w:sz w:val="28"/>
          <w:szCs w:val="28"/>
          <w:lang w:val="en-US"/>
        </w:rPr>
      </w:pPr>
      <w:r w:rsidRPr="0033455E">
        <w:rPr>
          <w:sz w:val="28"/>
          <w:szCs w:val="28"/>
          <w:lang w:val="en-US"/>
        </w:rPr>
        <w:t xml:space="preserve">Supporting </w:t>
      </w:r>
      <w:r w:rsidR="000277D7">
        <w:rPr>
          <w:sz w:val="28"/>
          <w:szCs w:val="28"/>
          <w:lang w:val="en-US"/>
        </w:rPr>
        <w:t>C</w:t>
      </w:r>
      <w:r w:rsidRPr="0033455E">
        <w:rPr>
          <w:sz w:val="28"/>
          <w:szCs w:val="28"/>
          <w:lang w:val="en-US"/>
        </w:rPr>
        <w:t xml:space="preserve">hildren, </w:t>
      </w:r>
      <w:r w:rsidR="000277D7">
        <w:rPr>
          <w:sz w:val="28"/>
          <w:szCs w:val="28"/>
          <w:lang w:val="en-US"/>
        </w:rPr>
        <w:t>Y</w:t>
      </w:r>
      <w:r w:rsidRPr="0033455E">
        <w:rPr>
          <w:sz w:val="28"/>
          <w:szCs w:val="28"/>
          <w:lang w:val="en-US"/>
        </w:rPr>
        <w:t xml:space="preserve">oung </w:t>
      </w:r>
      <w:r w:rsidR="000277D7">
        <w:rPr>
          <w:sz w:val="28"/>
          <w:szCs w:val="28"/>
          <w:lang w:val="en-US"/>
        </w:rPr>
        <w:t>P</w:t>
      </w:r>
      <w:r w:rsidRPr="0033455E">
        <w:rPr>
          <w:sz w:val="28"/>
          <w:szCs w:val="28"/>
          <w:lang w:val="en-US"/>
        </w:rPr>
        <w:t>eople</w:t>
      </w:r>
      <w:r w:rsidR="00FF334E">
        <w:rPr>
          <w:sz w:val="28"/>
          <w:szCs w:val="28"/>
          <w:lang w:val="en-US"/>
        </w:rPr>
        <w:t>,</w:t>
      </w:r>
      <w:r w:rsidRPr="0033455E">
        <w:rPr>
          <w:sz w:val="28"/>
          <w:szCs w:val="28"/>
          <w:lang w:val="en-US"/>
        </w:rPr>
        <w:t xml:space="preserve"> </w:t>
      </w:r>
      <w:r w:rsidR="000277D7">
        <w:rPr>
          <w:sz w:val="28"/>
          <w:szCs w:val="28"/>
          <w:lang w:val="en-US"/>
        </w:rPr>
        <w:t>&amp; F</w:t>
      </w:r>
      <w:r w:rsidRPr="0033455E">
        <w:rPr>
          <w:sz w:val="28"/>
          <w:szCs w:val="28"/>
          <w:lang w:val="en-US"/>
        </w:rPr>
        <w:t xml:space="preserve">amilies through the Criminal Justice System </w:t>
      </w:r>
    </w:p>
    <w:p w14:paraId="461541AB" w14:textId="77777777" w:rsidR="0033455E" w:rsidRPr="0033455E" w:rsidRDefault="0033455E" w:rsidP="0033455E">
      <w:pPr>
        <w:rPr>
          <w:lang w:val="en-US"/>
        </w:rPr>
      </w:pPr>
    </w:p>
    <w:p w14:paraId="38852845" w14:textId="77777777" w:rsidR="0033455E" w:rsidRPr="0033455E" w:rsidRDefault="0033455E" w:rsidP="0033455E">
      <w:pPr>
        <w:rPr>
          <w:lang w:val="en-US"/>
        </w:rPr>
      </w:pPr>
    </w:p>
    <w:p w14:paraId="6766AF2A" w14:textId="77777777" w:rsidR="0033455E" w:rsidRPr="0033455E" w:rsidRDefault="0033455E" w:rsidP="0033455E">
      <w:pPr>
        <w:rPr>
          <w:lang w:val="en-US"/>
        </w:rPr>
      </w:pPr>
    </w:p>
    <w:p w14:paraId="695ABEC3" w14:textId="77777777" w:rsidR="0033455E" w:rsidRPr="0033455E" w:rsidRDefault="0033455E" w:rsidP="0033455E">
      <w:pPr>
        <w:rPr>
          <w:lang w:val="en-US"/>
        </w:rPr>
      </w:pPr>
    </w:p>
    <w:p w14:paraId="59553D3E" w14:textId="77777777" w:rsidR="0033455E" w:rsidRPr="0033455E" w:rsidRDefault="0033455E" w:rsidP="0033455E">
      <w:pPr>
        <w:rPr>
          <w:lang w:val="en-US"/>
        </w:rPr>
      </w:pPr>
    </w:p>
    <w:p w14:paraId="361B5DC6" w14:textId="77777777" w:rsidR="0033455E" w:rsidRPr="0033455E" w:rsidRDefault="0033455E" w:rsidP="0033455E">
      <w:pPr>
        <w:rPr>
          <w:lang w:val="en-US"/>
        </w:rPr>
      </w:pPr>
    </w:p>
    <w:p w14:paraId="52E93E22" w14:textId="77777777" w:rsidR="0033455E" w:rsidRPr="0033455E" w:rsidRDefault="0033455E" w:rsidP="0033455E">
      <w:pPr>
        <w:rPr>
          <w:lang w:val="en-US"/>
        </w:rPr>
      </w:pPr>
    </w:p>
    <w:p w14:paraId="590189F3" w14:textId="77777777" w:rsidR="0033455E" w:rsidRPr="0033455E" w:rsidRDefault="0033455E" w:rsidP="0033455E">
      <w:pPr>
        <w:rPr>
          <w:b/>
          <w:bCs/>
          <w:color w:val="7030A0"/>
          <w:sz w:val="28"/>
          <w:szCs w:val="28"/>
          <w:lang w:val="en-US"/>
        </w:rPr>
      </w:pPr>
      <w:r w:rsidRPr="0033455E">
        <w:rPr>
          <w:b/>
          <w:bCs/>
          <w:color w:val="7030A0"/>
          <w:sz w:val="28"/>
          <w:szCs w:val="28"/>
          <w:lang w:val="en-US"/>
        </w:rPr>
        <w:t xml:space="preserve">Issued by: </w:t>
      </w:r>
    </w:p>
    <w:p w14:paraId="2B1602D3" w14:textId="4C3A52A7" w:rsidR="0033455E" w:rsidRDefault="0033455E" w:rsidP="0033455E">
      <w:pPr>
        <w:rPr>
          <w:sz w:val="28"/>
          <w:szCs w:val="28"/>
          <w:lang w:val="en-US"/>
        </w:rPr>
      </w:pPr>
      <w:r w:rsidRPr="0033455E">
        <w:rPr>
          <w:sz w:val="28"/>
          <w:szCs w:val="28"/>
          <w:lang w:val="en-US"/>
        </w:rPr>
        <w:t xml:space="preserve">A.S.S.C. Accompaniment Support Services for Children </w:t>
      </w:r>
    </w:p>
    <w:p w14:paraId="06772070" w14:textId="77777777" w:rsidR="0033455E" w:rsidRDefault="0033455E" w:rsidP="0033455E">
      <w:pPr>
        <w:rPr>
          <w:sz w:val="28"/>
          <w:szCs w:val="28"/>
          <w:lang w:val="en-US"/>
        </w:rPr>
      </w:pPr>
    </w:p>
    <w:p w14:paraId="5C18136D" w14:textId="77777777" w:rsidR="001A414E" w:rsidRPr="0033455E" w:rsidRDefault="001A414E" w:rsidP="0033455E">
      <w:pPr>
        <w:rPr>
          <w:sz w:val="28"/>
          <w:szCs w:val="28"/>
          <w:lang w:val="en-US"/>
        </w:rPr>
      </w:pPr>
    </w:p>
    <w:p w14:paraId="23241C9D" w14:textId="18EF23FE" w:rsidR="0033455E" w:rsidRPr="0033455E" w:rsidRDefault="0033455E" w:rsidP="0033455E">
      <w:pPr>
        <w:rPr>
          <w:sz w:val="28"/>
          <w:szCs w:val="28"/>
          <w:lang w:val="en-US"/>
        </w:rPr>
      </w:pPr>
      <w:r w:rsidRPr="0033455E">
        <w:rPr>
          <w:sz w:val="28"/>
          <w:szCs w:val="28"/>
          <w:lang w:val="en-US"/>
        </w:rPr>
        <w:t xml:space="preserve">Deadline for submission proposal: </w:t>
      </w:r>
      <w:r w:rsidR="00AD3EFB" w:rsidRPr="00AD3EFB">
        <w:rPr>
          <w:b/>
          <w:bCs/>
          <w:sz w:val="28"/>
          <w:szCs w:val="28"/>
          <w:lang w:val="en-US"/>
        </w:rPr>
        <w:t>Monday 7</w:t>
      </w:r>
      <w:r w:rsidR="00AD3EFB" w:rsidRPr="00AD3EFB">
        <w:rPr>
          <w:b/>
          <w:bCs/>
          <w:sz w:val="28"/>
          <w:szCs w:val="28"/>
          <w:vertAlign w:val="superscript"/>
          <w:lang w:val="en-US"/>
        </w:rPr>
        <w:t>th</w:t>
      </w:r>
      <w:r w:rsidR="00AD3EFB" w:rsidRPr="00AD3EFB">
        <w:rPr>
          <w:b/>
          <w:bCs/>
          <w:sz w:val="28"/>
          <w:szCs w:val="28"/>
          <w:lang w:val="en-US"/>
        </w:rPr>
        <w:t xml:space="preserve"> July 2025</w:t>
      </w:r>
    </w:p>
    <w:p w14:paraId="3B6A8828" w14:textId="77777777" w:rsidR="0033455E" w:rsidRPr="0033455E" w:rsidRDefault="0033455E" w:rsidP="0033455E">
      <w:pPr>
        <w:rPr>
          <w:sz w:val="28"/>
          <w:szCs w:val="28"/>
          <w:lang w:val="en-US"/>
        </w:rPr>
      </w:pPr>
    </w:p>
    <w:p w14:paraId="00F62733" w14:textId="77777777" w:rsidR="0033455E" w:rsidRPr="0033455E" w:rsidRDefault="0033455E" w:rsidP="0033455E">
      <w:pPr>
        <w:rPr>
          <w:lang w:val="en-US"/>
        </w:rPr>
      </w:pPr>
    </w:p>
    <w:p w14:paraId="7E4A79A2" w14:textId="77777777" w:rsidR="0033455E" w:rsidRPr="0033455E" w:rsidRDefault="0033455E" w:rsidP="0033455E">
      <w:pPr>
        <w:rPr>
          <w:lang w:val="en-US"/>
        </w:rPr>
      </w:pPr>
    </w:p>
    <w:p w14:paraId="0A293F35" w14:textId="77777777" w:rsidR="0033455E" w:rsidRPr="0033455E" w:rsidRDefault="0033455E" w:rsidP="0033455E">
      <w:pPr>
        <w:rPr>
          <w:lang w:val="en-US"/>
        </w:rPr>
      </w:pPr>
    </w:p>
    <w:p w14:paraId="6B6A7CF0" w14:textId="77777777" w:rsidR="0033455E" w:rsidRPr="0033455E" w:rsidRDefault="0033455E" w:rsidP="0033455E">
      <w:pPr>
        <w:rPr>
          <w:lang w:val="en-US"/>
        </w:rPr>
      </w:pPr>
    </w:p>
    <w:p w14:paraId="6F47F53A" w14:textId="77777777" w:rsidR="0033455E" w:rsidRPr="0033455E" w:rsidRDefault="0033455E" w:rsidP="0033455E">
      <w:pPr>
        <w:rPr>
          <w:lang w:val="en-US"/>
        </w:rPr>
      </w:pPr>
    </w:p>
    <w:p w14:paraId="36979D98" w14:textId="77777777" w:rsidR="0033455E" w:rsidRPr="0033455E" w:rsidRDefault="0033455E" w:rsidP="0033455E">
      <w:pPr>
        <w:rPr>
          <w:lang w:val="en-US"/>
        </w:rPr>
      </w:pPr>
    </w:p>
    <w:p w14:paraId="71859CDE" w14:textId="77777777" w:rsidR="0033455E" w:rsidRPr="0033455E" w:rsidRDefault="0033455E" w:rsidP="0033455E">
      <w:pPr>
        <w:rPr>
          <w:lang w:val="en-US"/>
        </w:rPr>
      </w:pPr>
    </w:p>
    <w:p w14:paraId="2DDFE9E2" w14:textId="77777777" w:rsidR="0033455E" w:rsidRPr="0033455E" w:rsidRDefault="0033455E" w:rsidP="0033455E">
      <w:pPr>
        <w:rPr>
          <w:lang w:val="en-US"/>
        </w:rPr>
      </w:pPr>
    </w:p>
    <w:p w14:paraId="447A20C4" w14:textId="77777777" w:rsidR="0033455E" w:rsidRDefault="0033455E" w:rsidP="0033455E">
      <w:pPr>
        <w:rPr>
          <w:lang w:val="en-US"/>
        </w:rPr>
      </w:pPr>
    </w:p>
    <w:p w14:paraId="0C579016" w14:textId="77777777" w:rsidR="001A414E" w:rsidRDefault="001A414E" w:rsidP="0033455E">
      <w:pPr>
        <w:rPr>
          <w:lang w:val="en-US"/>
        </w:rPr>
      </w:pPr>
    </w:p>
    <w:p w14:paraId="709E54A8" w14:textId="438FD154" w:rsidR="00C82CF0" w:rsidRDefault="00C82CF0">
      <w:pPr>
        <w:rPr>
          <w:lang w:val="en-US"/>
        </w:rPr>
      </w:pPr>
      <w:r>
        <w:rPr>
          <w:lang w:val="en-US"/>
        </w:rPr>
        <w:br w:type="page"/>
      </w:r>
    </w:p>
    <w:p w14:paraId="1C47DF90" w14:textId="77777777" w:rsidR="0033455E" w:rsidRPr="0033455E" w:rsidRDefault="0033455E" w:rsidP="00C82CF0">
      <w:pPr>
        <w:pStyle w:val="Heading3"/>
        <w:rPr>
          <w:lang w:val="en-US"/>
        </w:rPr>
      </w:pPr>
      <w:r w:rsidRPr="0033455E">
        <w:rPr>
          <w:lang w:val="en-US"/>
        </w:rPr>
        <w:lastRenderedPageBreak/>
        <w:t xml:space="preserve">Invitation to Tender </w:t>
      </w:r>
    </w:p>
    <w:p w14:paraId="0C58616C" w14:textId="77777777" w:rsidR="0033455E" w:rsidRPr="0033455E" w:rsidRDefault="0033455E" w:rsidP="0033455E">
      <w:pPr>
        <w:rPr>
          <w:lang w:val="en-US"/>
        </w:rPr>
      </w:pPr>
    </w:p>
    <w:p w14:paraId="7BE3BC6D" w14:textId="700EC50B" w:rsidR="005965D9" w:rsidRPr="00A61811" w:rsidRDefault="005965D9" w:rsidP="005965D9">
      <w:pPr>
        <w:rPr>
          <w:lang w:val="en-US"/>
        </w:rPr>
      </w:pPr>
      <w:r w:rsidRPr="00A61811">
        <w:rPr>
          <w:lang w:val="en-US"/>
        </w:rPr>
        <w:t xml:space="preserve">Accompaniment Support Services for Children (A.S.S.C.) are seeking tender proposals for an independent review of the charity's services. The Invitation to Tender has been developed in conjunction with Cuan with the purpose of collaboration being to inform a process on service development. The review will produce a report with key findings and recommendations. The work should commence </w:t>
      </w:r>
      <w:r w:rsidR="00E56E9C">
        <w:rPr>
          <w:lang w:val="en-US"/>
        </w:rPr>
        <w:t xml:space="preserve">from </w:t>
      </w:r>
      <w:r w:rsidR="00687EBD" w:rsidRPr="00687EBD">
        <w:rPr>
          <w:lang w:val="en-US"/>
        </w:rPr>
        <w:t>28</w:t>
      </w:r>
      <w:r w:rsidR="00E56E9C" w:rsidRPr="00687EBD">
        <w:rPr>
          <w:vertAlign w:val="superscript"/>
          <w:lang w:val="en-US"/>
        </w:rPr>
        <w:t>th</w:t>
      </w:r>
      <w:r w:rsidR="00E56E9C" w:rsidRPr="00687EBD">
        <w:rPr>
          <w:lang w:val="en-US"/>
        </w:rPr>
        <w:t xml:space="preserve"> July to 13</w:t>
      </w:r>
      <w:r w:rsidR="00E56E9C" w:rsidRPr="00687EBD">
        <w:rPr>
          <w:vertAlign w:val="superscript"/>
          <w:lang w:val="en-US"/>
        </w:rPr>
        <w:t>th</w:t>
      </w:r>
      <w:r w:rsidR="00E56E9C" w:rsidRPr="00687EBD">
        <w:rPr>
          <w:lang w:val="en-US"/>
        </w:rPr>
        <w:t xml:space="preserve"> October 2025.</w:t>
      </w:r>
    </w:p>
    <w:p w14:paraId="0C255276" w14:textId="77777777" w:rsidR="0033455E" w:rsidRPr="0033455E" w:rsidRDefault="0033455E" w:rsidP="0033455E">
      <w:pPr>
        <w:rPr>
          <w:lang w:val="en-US"/>
        </w:rPr>
      </w:pPr>
    </w:p>
    <w:p w14:paraId="0ED91EC9" w14:textId="77777777" w:rsidR="0033455E" w:rsidRPr="0033455E" w:rsidRDefault="0033455E" w:rsidP="00C82CF0">
      <w:pPr>
        <w:pStyle w:val="Heading3"/>
        <w:rPr>
          <w:lang w:val="en-US"/>
        </w:rPr>
      </w:pPr>
      <w:r w:rsidRPr="0033455E">
        <w:rPr>
          <w:lang w:val="en-US"/>
        </w:rPr>
        <w:t xml:space="preserve">Background &amp; Context </w:t>
      </w:r>
    </w:p>
    <w:p w14:paraId="29F477C2" w14:textId="77777777" w:rsidR="0033455E" w:rsidRPr="0033455E" w:rsidRDefault="0033455E" w:rsidP="0033455E">
      <w:pPr>
        <w:numPr>
          <w:ilvl w:val="1"/>
          <w:numId w:val="1"/>
        </w:numPr>
        <w:rPr>
          <w:b/>
          <w:bCs/>
          <w:lang w:val="en-US"/>
        </w:rPr>
      </w:pPr>
      <w:r w:rsidRPr="0033455E">
        <w:rPr>
          <w:b/>
          <w:bCs/>
          <w:lang w:val="en-US"/>
        </w:rPr>
        <w:t xml:space="preserve">About A.S.S.C. </w:t>
      </w:r>
    </w:p>
    <w:p w14:paraId="4997B0D7" w14:textId="77777777" w:rsidR="00B935A1" w:rsidRDefault="0033455E" w:rsidP="0033455E">
      <w:pPr>
        <w:rPr>
          <w:lang w:val="en-US"/>
        </w:rPr>
      </w:pPr>
      <w:r w:rsidRPr="0033455E">
        <w:rPr>
          <w:lang w:val="en-US"/>
        </w:rPr>
        <w:t xml:space="preserve">A.S.S.C. was set up to address the gap in service provision for children and young people impacted by crime. The services provided are accompaniment and ongoing support &amp; advocacy for family members/carers. A.S.S.C. services </w:t>
      </w:r>
      <w:r w:rsidR="00D85BA4">
        <w:rPr>
          <w:lang w:val="en-US"/>
        </w:rPr>
        <w:t>went live</w:t>
      </w:r>
      <w:r w:rsidRPr="0033455E">
        <w:rPr>
          <w:lang w:val="en-US"/>
        </w:rPr>
        <w:t xml:space="preserve"> in January 2021. These services are provided through onsite support and ongoing phone support. The accompaniment support is volunteer-led and is for any child or young person who attends certain Sexual Assault Treatment Units (SATU) or a Central Criminal Court to testify as a victim or witness to crime. The ongoing phone support is provided to any family member/carer supporting a child or young person negotiating the Criminal Justice System as a victim or witness to crime. </w:t>
      </w:r>
    </w:p>
    <w:p w14:paraId="647D5468" w14:textId="7845B49F" w:rsidR="0033455E" w:rsidRDefault="0033455E" w:rsidP="0033455E">
      <w:pPr>
        <w:rPr>
          <w:lang w:val="en-US"/>
        </w:rPr>
      </w:pPr>
      <w:r w:rsidRPr="0033455E">
        <w:rPr>
          <w:lang w:val="en-US"/>
        </w:rPr>
        <w:t xml:space="preserve">More information here: </w:t>
      </w:r>
      <w:hyperlink r:id="rId7" w:history="1">
        <w:r w:rsidRPr="0033455E">
          <w:rPr>
            <w:rStyle w:val="Hyperlink"/>
            <w:lang w:val="en-US"/>
          </w:rPr>
          <w:t>www.assc.ie</w:t>
        </w:r>
      </w:hyperlink>
      <w:r w:rsidRPr="0033455E">
        <w:rPr>
          <w:lang w:val="en-US"/>
        </w:rPr>
        <w:t xml:space="preserve">  </w:t>
      </w:r>
    </w:p>
    <w:p w14:paraId="1ECACD66" w14:textId="77777777" w:rsidR="00377D43" w:rsidRPr="0033455E" w:rsidRDefault="00377D43" w:rsidP="0033455E">
      <w:pPr>
        <w:rPr>
          <w:lang w:val="en-US"/>
        </w:rPr>
      </w:pPr>
    </w:p>
    <w:p w14:paraId="371C00E2" w14:textId="77777777" w:rsidR="0033455E" w:rsidRPr="0033455E" w:rsidRDefault="0033455E" w:rsidP="0033455E">
      <w:pPr>
        <w:numPr>
          <w:ilvl w:val="1"/>
          <w:numId w:val="1"/>
        </w:numPr>
        <w:rPr>
          <w:b/>
          <w:bCs/>
          <w:lang w:val="en-US"/>
        </w:rPr>
      </w:pPr>
      <w:r w:rsidRPr="0033455E">
        <w:rPr>
          <w:b/>
          <w:bCs/>
          <w:lang w:val="en-US"/>
        </w:rPr>
        <w:t xml:space="preserve">Specialised Services for Children, Young People &amp; Families  </w:t>
      </w:r>
    </w:p>
    <w:p w14:paraId="485AB58B" w14:textId="3B4A4159" w:rsidR="0033455E" w:rsidRPr="0033455E" w:rsidRDefault="00EA3BEA" w:rsidP="0033455E">
      <w:r w:rsidRPr="0033455E">
        <w:rPr>
          <w:lang w:val="en-US"/>
        </w:rPr>
        <w:t>These</w:t>
      </w:r>
      <w:r w:rsidR="00B935A1">
        <w:rPr>
          <w:lang w:val="en-US"/>
        </w:rPr>
        <w:t xml:space="preserve"> </w:t>
      </w:r>
      <w:r w:rsidR="00B935A1" w:rsidRPr="00B935A1">
        <w:rPr>
          <w:rStyle w:val="cf01"/>
          <w:rFonts w:asciiTheme="minorHAnsi" w:hAnsiTheme="minorHAnsi"/>
          <w:sz w:val="22"/>
          <w:szCs w:val="22"/>
        </w:rPr>
        <w:t xml:space="preserve">specialised </w:t>
      </w:r>
      <w:r>
        <w:rPr>
          <w:rStyle w:val="cf01"/>
          <w:rFonts w:asciiTheme="minorHAnsi" w:hAnsiTheme="minorHAnsi"/>
          <w:sz w:val="22"/>
          <w:szCs w:val="22"/>
        </w:rPr>
        <w:t xml:space="preserve">support </w:t>
      </w:r>
      <w:r w:rsidR="0033455E" w:rsidRPr="0033455E">
        <w:rPr>
          <w:lang w:val="en-US"/>
        </w:rPr>
        <w:t xml:space="preserve">services are specifically aimed at children, young people, and their families as they move through the Criminal Justice System. A.S.S.C. </w:t>
      </w:r>
      <w:proofErr w:type="spellStart"/>
      <w:r w:rsidR="0033455E" w:rsidRPr="0033455E">
        <w:rPr>
          <w:lang w:val="en-US"/>
        </w:rPr>
        <w:t>specialises</w:t>
      </w:r>
      <w:proofErr w:type="spellEnd"/>
      <w:r w:rsidR="0033455E" w:rsidRPr="0033455E">
        <w:rPr>
          <w:lang w:val="en-US"/>
        </w:rPr>
        <w:t xml:space="preserve"> in the impact of trauma on families moving through these systems, including </w:t>
      </w:r>
      <w:r w:rsidR="00180F5A">
        <w:rPr>
          <w:lang w:val="en-US"/>
        </w:rPr>
        <w:t xml:space="preserve">working in line with </w:t>
      </w:r>
      <w:r w:rsidR="0033455E" w:rsidRPr="0033455E">
        <w:rPr>
          <w:lang w:val="en-US"/>
        </w:rPr>
        <w:t xml:space="preserve">child protection </w:t>
      </w:r>
      <w:r w:rsidR="00180F5A">
        <w:rPr>
          <w:lang w:val="en-US"/>
        </w:rPr>
        <w:t>protocol</w:t>
      </w:r>
      <w:r w:rsidR="0033455E" w:rsidRPr="0033455E">
        <w:rPr>
          <w:lang w:val="en-US"/>
        </w:rPr>
        <w:t>s. The charity aims to support all children, young people, and their families who have experienced crime across the Republic of Ireland</w:t>
      </w:r>
      <w:r w:rsidR="00F37BB2">
        <w:rPr>
          <w:lang w:val="en-US"/>
        </w:rPr>
        <w:t>. It has</w:t>
      </w:r>
      <w:r w:rsidR="0033455E" w:rsidRPr="0033455E">
        <w:rPr>
          <w:lang w:val="en-US"/>
        </w:rPr>
        <w:t xml:space="preserve"> a vision of a child-friendly justice system and a mission that supports all children and young people who are victims of or witnesses to crime. A.S.S.C. also supports child</w:t>
      </w:r>
      <w:r w:rsidR="00E447DD">
        <w:rPr>
          <w:lang w:val="en-US"/>
        </w:rPr>
        <w:t>ren</w:t>
      </w:r>
      <w:r w:rsidR="00020705">
        <w:rPr>
          <w:lang w:val="en-US"/>
        </w:rPr>
        <w:t xml:space="preserve"> </w:t>
      </w:r>
      <w:r w:rsidR="00FD0A5B">
        <w:rPr>
          <w:lang w:val="en-US"/>
        </w:rPr>
        <w:t xml:space="preserve">and </w:t>
      </w:r>
      <w:r w:rsidR="0033455E" w:rsidRPr="0033455E">
        <w:rPr>
          <w:lang w:val="en-US"/>
        </w:rPr>
        <w:t xml:space="preserve">young </w:t>
      </w:r>
      <w:r w:rsidR="00FD0A5B" w:rsidRPr="0033455E">
        <w:rPr>
          <w:lang w:val="en-US"/>
        </w:rPr>
        <w:t>people</w:t>
      </w:r>
      <w:r w:rsidR="00020705">
        <w:rPr>
          <w:lang w:val="en-US"/>
        </w:rPr>
        <w:t xml:space="preserve"> </w:t>
      </w:r>
      <w:r w:rsidR="0033455E" w:rsidRPr="0033455E">
        <w:rPr>
          <w:lang w:val="en-US"/>
        </w:rPr>
        <w:t xml:space="preserve">—giving them a voice to facilitate choice and autonomy.  A.S.S.C. </w:t>
      </w:r>
      <w:r w:rsidR="0033455E" w:rsidRPr="0033455E">
        <w:t xml:space="preserve">values are guided by a child-centred and client-led approach, facilitating a culture of transparent communication with families, key stakeholders and the </w:t>
      </w:r>
      <w:r w:rsidR="00FF4D84" w:rsidRPr="0033455E">
        <w:t>charity</w:t>
      </w:r>
      <w:r w:rsidR="0033455E" w:rsidRPr="0033455E">
        <w:t xml:space="preserve"> team. </w:t>
      </w:r>
    </w:p>
    <w:p w14:paraId="47DDA998" w14:textId="094F79E4" w:rsidR="0033455E" w:rsidRDefault="0033455E" w:rsidP="0033455E">
      <w:r w:rsidRPr="0033455E">
        <w:t>Reporting on this journey for children, young people, and their families is a key area of A.S.S.C. activity.</w:t>
      </w:r>
      <w:r w:rsidR="00A15C61">
        <w:t xml:space="preserve"> </w:t>
      </w:r>
      <w:r w:rsidR="005F4E1E">
        <w:t>This</w:t>
      </w:r>
      <w:r w:rsidR="00A15C61">
        <w:t xml:space="preserve"> enables the children's</w:t>
      </w:r>
      <w:r w:rsidR="00A15C61" w:rsidRPr="0033455E">
        <w:t xml:space="preserve"> voices to be heard. </w:t>
      </w:r>
      <w:r w:rsidRPr="0033455E">
        <w:t xml:space="preserve"> </w:t>
      </w:r>
      <w:r w:rsidR="006771CA">
        <w:t>This data</w:t>
      </w:r>
      <w:r w:rsidR="008D60E6" w:rsidRPr="008D60E6">
        <w:t xml:space="preserve"> </w:t>
      </w:r>
      <w:r w:rsidR="00D115EE">
        <w:t xml:space="preserve">also </w:t>
      </w:r>
      <w:r w:rsidR="006771CA">
        <w:t>highlights</w:t>
      </w:r>
      <w:r w:rsidR="008D60E6" w:rsidRPr="008D60E6">
        <w:t xml:space="preserve"> the current service provisions</w:t>
      </w:r>
      <w:r w:rsidR="00957AB7">
        <w:t xml:space="preserve"> and gaps and provides insight </w:t>
      </w:r>
      <w:r w:rsidR="00EC7094">
        <w:t>into</w:t>
      </w:r>
      <w:r w:rsidR="00957AB7">
        <w:t xml:space="preserve"> future strategies for A.S.S.C. </w:t>
      </w:r>
      <w:r w:rsidRPr="0033455E">
        <w:t>Furthermore, it serves as a benchmark for how Ireland is supporting child victims of crime when considering their rights.</w:t>
      </w:r>
    </w:p>
    <w:p w14:paraId="792D2733" w14:textId="77777777" w:rsidR="00377D43" w:rsidRPr="0033455E" w:rsidRDefault="00377D43" w:rsidP="0033455E"/>
    <w:p w14:paraId="1DC014D2" w14:textId="77777777" w:rsidR="0033455E" w:rsidRPr="0033455E" w:rsidRDefault="0033455E" w:rsidP="0033455E">
      <w:pPr>
        <w:numPr>
          <w:ilvl w:val="1"/>
          <w:numId w:val="1"/>
        </w:numPr>
        <w:rPr>
          <w:b/>
          <w:bCs/>
          <w:lang w:val="en-US"/>
        </w:rPr>
      </w:pPr>
      <w:r w:rsidRPr="0033455E">
        <w:rPr>
          <w:b/>
          <w:bCs/>
          <w:lang w:val="en-US"/>
        </w:rPr>
        <w:t xml:space="preserve">Legislative Landscape </w:t>
      </w:r>
    </w:p>
    <w:p w14:paraId="6CEB85A4" w14:textId="77777777" w:rsidR="0033455E" w:rsidRPr="0033455E" w:rsidRDefault="0033455E" w:rsidP="0033455E">
      <w:pPr>
        <w:rPr>
          <w:lang w:val="en-US"/>
        </w:rPr>
      </w:pPr>
      <w:r w:rsidRPr="0033455E">
        <w:rPr>
          <w:lang w:val="en-US"/>
        </w:rPr>
        <w:t xml:space="preserve">The United Nations Convention on the Rights of the Child (UNCRC) sets out four guiding principles: </w:t>
      </w:r>
    </w:p>
    <w:p w14:paraId="2272DE1D" w14:textId="0EE97B7E" w:rsidR="0033455E" w:rsidRPr="0033455E" w:rsidRDefault="0033455E" w:rsidP="00C82CF0">
      <w:pPr>
        <w:spacing w:after="0"/>
        <w:ind w:left="720"/>
        <w:rPr>
          <w:lang w:val="en-US"/>
        </w:rPr>
      </w:pPr>
      <w:r w:rsidRPr="0033455E">
        <w:rPr>
          <w:lang w:val="en-US"/>
        </w:rPr>
        <w:t xml:space="preserve">1. Rights under the UNCRC should be guaranteed to all </w:t>
      </w:r>
      <w:r w:rsidR="005A30D7" w:rsidRPr="0033455E">
        <w:rPr>
          <w:lang w:val="en-US"/>
        </w:rPr>
        <w:t>children.</w:t>
      </w:r>
      <w:r w:rsidRPr="0033455E">
        <w:rPr>
          <w:lang w:val="en-US"/>
        </w:rPr>
        <w:t xml:space="preserve"> </w:t>
      </w:r>
    </w:p>
    <w:p w14:paraId="2BBFC9FD" w14:textId="63967612" w:rsidR="0033455E" w:rsidRPr="0033455E" w:rsidRDefault="0033455E" w:rsidP="00C82CF0">
      <w:pPr>
        <w:spacing w:after="0"/>
        <w:ind w:left="720"/>
        <w:rPr>
          <w:lang w:val="en-US"/>
        </w:rPr>
      </w:pPr>
      <w:r w:rsidRPr="0033455E">
        <w:rPr>
          <w:lang w:val="en-US"/>
        </w:rPr>
        <w:t xml:space="preserve">2. The child's best interest must be at the forefront of any actions involving the </w:t>
      </w:r>
      <w:r w:rsidR="005A30D7" w:rsidRPr="0033455E">
        <w:rPr>
          <w:lang w:val="en-US"/>
        </w:rPr>
        <w:t>child.</w:t>
      </w:r>
      <w:r w:rsidRPr="0033455E">
        <w:rPr>
          <w:lang w:val="en-US"/>
        </w:rPr>
        <w:t xml:space="preserve"> </w:t>
      </w:r>
    </w:p>
    <w:p w14:paraId="77B4C560" w14:textId="7EB189B9" w:rsidR="0033455E" w:rsidRPr="0033455E" w:rsidRDefault="0033455E" w:rsidP="00C82CF0">
      <w:pPr>
        <w:spacing w:after="0"/>
        <w:ind w:left="720"/>
        <w:rPr>
          <w:lang w:val="en-US"/>
        </w:rPr>
      </w:pPr>
      <w:r w:rsidRPr="0033455E">
        <w:rPr>
          <w:lang w:val="en-US"/>
        </w:rPr>
        <w:t xml:space="preserve">3. Children have the right to life, survival and </w:t>
      </w:r>
      <w:r w:rsidR="005A30D7" w:rsidRPr="0033455E">
        <w:rPr>
          <w:lang w:val="en-US"/>
        </w:rPr>
        <w:t>development.</w:t>
      </w:r>
    </w:p>
    <w:p w14:paraId="6D04E53D" w14:textId="77777777" w:rsidR="0033455E" w:rsidRPr="0033455E" w:rsidRDefault="0033455E" w:rsidP="00C82CF0">
      <w:pPr>
        <w:spacing w:after="0"/>
        <w:ind w:left="720"/>
        <w:rPr>
          <w:lang w:val="en-US"/>
        </w:rPr>
      </w:pPr>
      <w:r w:rsidRPr="0033455E">
        <w:rPr>
          <w:lang w:val="en-US"/>
        </w:rPr>
        <w:t>4. Children's views must be considered</w:t>
      </w:r>
    </w:p>
    <w:p w14:paraId="6FDB4E9E" w14:textId="0ECF7161" w:rsidR="0033455E" w:rsidRPr="0033455E" w:rsidRDefault="0033455E" w:rsidP="0033455E">
      <w:pPr>
        <w:rPr>
          <w:lang w:val="en-US"/>
        </w:rPr>
      </w:pPr>
      <w:r w:rsidRPr="0033455E">
        <w:rPr>
          <w:lang w:val="en-US"/>
        </w:rPr>
        <w:t xml:space="preserve">Article 12 also provides </w:t>
      </w:r>
      <w:r w:rsidR="003D6846" w:rsidRPr="0033455E">
        <w:rPr>
          <w:lang w:val="en-US"/>
        </w:rPr>
        <w:t>children with</w:t>
      </w:r>
      <w:r w:rsidRPr="0033455E">
        <w:rPr>
          <w:lang w:val="en-US"/>
        </w:rPr>
        <w:t xml:space="preserve"> the right to be heard in proceedings affecting them, such as judicial proceedings. </w:t>
      </w:r>
    </w:p>
    <w:p w14:paraId="4B63EE2C" w14:textId="78FDFF07" w:rsidR="0033455E" w:rsidRPr="0033455E" w:rsidRDefault="0033455E" w:rsidP="0033455E">
      <w:pPr>
        <w:rPr>
          <w:lang w:val="en-US"/>
        </w:rPr>
      </w:pPr>
      <w:r w:rsidRPr="0033455E">
        <w:rPr>
          <w:lang w:val="en-US"/>
        </w:rPr>
        <w:lastRenderedPageBreak/>
        <w:t>These rights</w:t>
      </w:r>
      <w:r w:rsidR="0029050E">
        <w:rPr>
          <w:lang w:val="en-US"/>
        </w:rPr>
        <w:t>, detailed in the Convention of the Rights of the Child, align with A.S.</w:t>
      </w:r>
      <w:proofErr w:type="gramStart"/>
      <w:r w:rsidR="0029050E">
        <w:rPr>
          <w:lang w:val="en-US"/>
        </w:rPr>
        <w:t>S.C's</w:t>
      </w:r>
      <w:proofErr w:type="gramEnd"/>
      <w:r w:rsidR="0029050E">
        <w:rPr>
          <w:lang w:val="en-US"/>
        </w:rPr>
        <w:t xml:space="preserve"> aims, vision, and values</w:t>
      </w:r>
      <w:r w:rsidRPr="0033455E">
        <w:rPr>
          <w:lang w:val="en-US"/>
        </w:rPr>
        <w:t xml:space="preserve">. </w:t>
      </w:r>
    </w:p>
    <w:p w14:paraId="53B4E1AE" w14:textId="77777777" w:rsidR="0033455E" w:rsidRPr="0033455E" w:rsidRDefault="0033455E" w:rsidP="0033455E">
      <w:pPr>
        <w:rPr>
          <w:b/>
          <w:bCs/>
          <w:lang w:val="en-US"/>
        </w:rPr>
      </w:pPr>
      <w:r w:rsidRPr="0033455E">
        <w:rPr>
          <w:lang w:val="en-US"/>
        </w:rPr>
        <w:t xml:space="preserve">More information can be found here: </w:t>
      </w:r>
    </w:p>
    <w:p w14:paraId="5D42A5ED" w14:textId="77777777" w:rsidR="0033455E" w:rsidRPr="0033455E" w:rsidRDefault="0033455E" w:rsidP="00C82CF0">
      <w:pPr>
        <w:ind w:left="720"/>
        <w:rPr>
          <w:lang w:val="en-US"/>
        </w:rPr>
      </w:pPr>
      <w:hyperlink r:id="rId8" w:history="1">
        <w:r w:rsidRPr="0033455E">
          <w:rPr>
            <w:rStyle w:val="Hyperlink"/>
            <w:lang w:val="en-US"/>
          </w:rPr>
          <w:t>https://childrensrights.ie/wp-content/uploads/2023/04/UNCRCEnglish.pdf</w:t>
        </w:r>
      </w:hyperlink>
      <w:r w:rsidRPr="0033455E">
        <w:rPr>
          <w:lang w:val="en-US"/>
        </w:rPr>
        <w:t xml:space="preserve">  </w:t>
      </w:r>
    </w:p>
    <w:p w14:paraId="3649EA18" w14:textId="4B6ABD7D" w:rsidR="0033455E" w:rsidRPr="0033455E" w:rsidRDefault="0033455E" w:rsidP="0033455E">
      <w:pPr>
        <w:rPr>
          <w:lang w:val="en-US"/>
        </w:rPr>
      </w:pPr>
      <w:r w:rsidRPr="0033455E">
        <w:rPr>
          <w:lang w:val="en-US"/>
        </w:rPr>
        <w:t xml:space="preserve">In 2012, the European Union (EU) set minimum standards </w:t>
      </w:r>
      <w:r w:rsidR="005E1E22">
        <w:rPr>
          <w:lang w:val="en-US"/>
        </w:rPr>
        <w:t>for the rights, support,</w:t>
      </w:r>
      <w:r w:rsidRPr="0033455E">
        <w:rPr>
          <w:lang w:val="en-US"/>
        </w:rPr>
        <w:t xml:space="preserve"> and protection of victims of crime</w:t>
      </w:r>
      <w:r w:rsidR="0029050E">
        <w:rPr>
          <w:lang w:val="en-US"/>
        </w:rPr>
        <w:t>, as</w:t>
      </w:r>
      <w:r w:rsidRPr="0033455E">
        <w:rPr>
          <w:lang w:val="en-US"/>
        </w:rPr>
        <w:t xml:space="preserve"> stated in the DIRECTIVE 2012/29/EU. In Article 1, under Objectives Part 2. It states that “where the victim is a child, the child’s best interests shall be of primary consideration and shall be assessed on an individual basis</w:t>
      </w:r>
      <w:r w:rsidR="00544640">
        <w:rPr>
          <w:lang w:val="en-US"/>
        </w:rPr>
        <w:t>”</w:t>
      </w:r>
      <w:r w:rsidRPr="0033455E">
        <w:rPr>
          <w:lang w:val="en-US"/>
        </w:rPr>
        <w:t xml:space="preserve">. </w:t>
      </w:r>
    </w:p>
    <w:p w14:paraId="4CA67AB4" w14:textId="77777777" w:rsidR="0033455E" w:rsidRPr="0033455E" w:rsidRDefault="0033455E" w:rsidP="0033455E">
      <w:pPr>
        <w:rPr>
          <w:lang w:val="en-US"/>
        </w:rPr>
      </w:pPr>
      <w:r w:rsidRPr="0033455E">
        <w:rPr>
          <w:lang w:val="en-US"/>
        </w:rPr>
        <w:t xml:space="preserve">A.S.S.C.'s client-led, case-by-case approach supports this objective. </w:t>
      </w:r>
    </w:p>
    <w:p w14:paraId="29BE1905" w14:textId="77777777" w:rsidR="0033455E" w:rsidRPr="0033455E" w:rsidRDefault="0033455E" w:rsidP="0033455E">
      <w:pPr>
        <w:rPr>
          <w:b/>
          <w:bCs/>
          <w:lang w:val="en-US"/>
        </w:rPr>
      </w:pPr>
      <w:r w:rsidRPr="0033455E">
        <w:rPr>
          <w:lang w:val="en-US"/>
        </w:rPr>
        <w:t xml:space="preserve">More information can be found here: </w:t>
      </w:r>
    </w:p>
    <w:p w14:paraId="7CD28F2F" w14:textId="77777777" w:rsidR="0033455E" w:rsidRPr="0033455E" w:rsidRDefault="0033455E" w:rsidP="00C82CF0">
      <w:pPr>
        <w:ind w:left="720"/>
        <w:rPr>
          <w:b/>
          <w:bCs/>
          <w:lang w:val="en-US"/>
        </w:rPr>
      </w:pPr>
      <w:hyperlink r:id="rId9" w:history="1">
        <w:r w:rsidRPr="0033455E">
          <w:rPr>
            <w:rStyle w:val="Hyperlink"/>
            <w:lang w:val="en-US"/>
          </w:rPr>
          <w:t>https://eur-lex.europa.eu/legal-content/EN/TXT/PDF/?uri=CELEX:32012L0029</w:t>
        </w:r>
      </w:hyperlink>
      <w:r w:rsidRPr="0033455E">
        <w:rPr>
          <w:lang w:val="en-US"/>
        </w:rPr>
        <w:t xml:space="preserve">   </w:t>
      </w:r>
    </w:p>
    <w:p w14:paraId="34CBEB05" w14:textId="10E7A154" w:rsidR="0033455E" w:rsidRPr="0033455E" w:rsidRDefault="0033455E" w:rsidP="0033455E">
      <w:r w:rsidRPr="0033455E">
        <w:rPr>
          <w:lang w:val="en-US"/>
        </w:rPr>
        <w:t xml:space="preserve">Underpinning the above EU Directive 2012/29/EU, Ireland enacted the </w:t>
      </w:r>
      <w:r w:rsidRPr="0033455E">
        <w:t>Criminal Justice (Victims of Crime) Act 2017. Th</w:t>
      </w:r>
      <w:r w:rsidR="006045B4">
        <w:t>erefore</w:t>
      </w:r>
      <w:r w:rsidRPr="0033455E">
        <w:t xml:space="preserve">, </w:t>
      </w:r>
      <w:r w:rsidR="00820B11">
        <w:t>this legislation has established minimum standards for victims of crime in Ireland</w:t>
      </w:r>
      <w:r w:rsidR="006F33DE">
        <w:t xml:space="preserve">. </w:t>
      </w:r>
      <w:r w:rsidRPr="0033455E">
        <w:t xml:space="preserve"> </w:t>
      </w:r>
    </w:p>
    <w:p w14:paraId="0E03FCDB" w14:textId="7ECF620E" w:rsidR="0033455E" w:rsidRPr="0033455E" w:rsidRDefault="0033455E" w:rsidP="0033455E">
      <w:r w:rsidRPr="0033455E">
        <w:t xml:space="preserve">Under this legislation, certain rights are afforded to children and families; some are as follows: Children are presumed to have protection needs, and these needs should be considered in their best interest; the child should be able to raise any “views or concerns”, this should be considered along with their age and maturity; This right should also extend to their family member to raise the same. A.S.S.C. services, particularly the ongoing Support &amp; Advocacy Services, allow these views or concerns to be raised continuously by the family/child and fed back to relevant professionals working with them. Furthermore, what special measures can be provided to them.  </w:t>
      </w:r>
    </w:p>
    <w:p w14:paraId="4A080F76" w14:textId="7191B1CE" w:rsidR="0033455E" w:rsidRPr="0033455E" w:rsidRDefault="0033455E" w:rsidP="0033455E">
      <w:r w:rsidRPr="0033455E">
        <w:t xml:space="preserve">Additionally, information </w:t>
      </w:r>
      <w:r w:rsidR="000611B7">
        <w:t xml:space="preserve">on support services must be provided to the child and family on first contact with </w:t>
      </w:r>
      <w:proofErr w:type="gramStart"/>
      <w:r w:rsidR="000611B7">
        <w:t>An</w:t>
      </w:r>
      <w:proofErr w:type="gramEnd"/>
      <w:r w:rsidR="000611B7">
        <w:t xml:space="preserve"> Garda Síochána to allow appropriate support to begin. This is provided through accompaniment by a support person on the ground. A.S.S.C. provides this service either at the time of disclosure or concern of sexual violence or</w:t>
      </w:r>
      <w:r w:rsidRPr="0033455E">
        <w:t xml:space="preserve"> when they have been called to provide testimony in a criminal case</w:t>
      </w:r>
      <w:r w:rsidR="00476442">
        <w:t xml:space="preserve">. </w:t>
      </w:r>
    </w:p>
    <w:p w14:paraId="3245FAA9" w14:textId="77777777" w:rsidR="0033455E" w:rsidRPr="0033455E" w:rsidRDefault="0033455E" w:rsidP="0033455E">
      <w:pPr>
        <w:rPr>
          <w:b/>
          <w:bCs/>
          <w:lang w:val="en-US"/>
        </w:rPr>
      </w:pPr>
      <w:r w:rsidRPr="0033455E">
        <w:rPr>
          <w:lang w:val="en-US"/>
        </w:rPr>
        <w:t xml:space="preserve">More information can be found here: </w:t>
      </w:r>
    </w:p>
    <w:p w14:paraId="41ADE23D" w14:textId="77777777" w:rsidR="0033455E" w:rsidRPr="0033455E" w:rsidRDefault="0033455E" w:rsidP="00C82CF0">
      <w:pPr>
        <w:ind w:left="720"/>
      </w:pPr>
      <w:hyperlink r:id="rId10" w:history="1">
        <w:r w:rsidRPr="0033455E">
          <w:rPr>
            <w:rStyle w:val="Hyperlink"/>
          </w:rPr>
          <w:t>https://www.irishstatutebook.ie/eli/2017/act/28/enacted/en/html</w:t>
        </w:r>
      </w:hyperlink>
      <w:r w:rsidRPr="0033455E">
        <w:t xml:space="preserve"> </w:t>
      </w:r>
    </w:p>
    <w:p w14:paraId="46CD0485" w14:textId="03F3B326" w:rsidR="0033455E" w:rsidRPr="0033455E" w:rsidRDefault="0033455E" w:rsidP="0033455E">
      <w:pPr>
        <w:rPr>
          <w:lang w:val="en-US"/>
        </w:rPr>
      </w:pPr>
      <w:r w:rsidRPr="0033455E">
        <w:rPr>
          <w:lang w:val="en-US"/>
        </w:rPr>
        <w:t>Consider</w:t>
      </w:r>
      <w:r w:rsidR="000611B7">
        <w:rPr>
          <w:lang w:val="en-US"/>
        </w:rPr>
        <w:t xml:space="preserve">ing </w:t>
      </w:r>
      <w:r w:rsidRPr="0033455E">
        <w:rPr>
          <w:lang w:val="en-US"/>
        </w:rPr>
        <w:t xml:space="preserve">the four pillars of the Istanbul Convention, developed by the Council of Europe to support agreements between EU member states, to stop DSGBV. These pillars are prevention, protection, prosecution, and integrated policy. </w:t>
      </w:r>
    </w:p>
    <w:p w14:paraId="42332B4C" w14:textId="279368D5" w:rsidR="0033455E" w:rsidRPr="0033455E" w:rsidRDefault="0033455E" w:rsidP="0033455E">
      <w:pPr>
        <w:rPr>
          <w:lang w:val="en-US"/>
        </w:rPr>
      </w:pPr>
      <w:r w:rsidRPr="0033455E">
        <w:rPr>
          <w:lang w:val="en-US"/>
        </w:rPr>
        <w:t xml:space="preserve">A.S.S.C. supports children, young people, and families throughout the Criminal Justice System, </w:t>
      </w:r>
      <w:proofErr w:type="spellStart"/>
      <w:r w:rsidRPr="0033455E">
        <w:rPr>
          <w:lang w:val="en-US"/>
        </w:rPr>
        <w:t>specialising</w:t>
      </w:r>
      <w:proofErr w:type="spellEnd"/>
      <w:r w:rsidRPr="0033455E">
        <w:rPr>
          <w:lang w:val="en-US"/>
        </w:rPr>
        <w:t xml:space="preserve"> in such areas and understanding the importance of prevention and protection of all children</w:t>
      </w:r>
      <w:r w:rsidR="00AF74B2">
        <w:rPr>
          <w:lang w:val="en-US"/>
        </w:rPr>
        <w:t xml:space="preserve"> experiencing sexual violence. A.S.S.C. supports</w:t>
      </w:r>
      <w:r w:rsidRPr="0033455E">
        <w:rPr>
          <w:lang w:val="en-US"/>
        </w:rPr>
        <w:t xml:space="preserve"> them through their journey </w:t>
      </w:r>
      <w:proofErr w:type="gramStart"/>
      <w:r w:rsidRPr="0033455E">
        <w:rPr>
          <w:lang w:val="en-US"/>
        </w:rPr>
        <w:t>in</w:t>
      </w:r>
      <w:proofErr w:type="gramEnd"/>
      <w:r w:rsidRPr="0033455E">
        <w:rPr>
          <w:lang w:val="en-US"/>
        </w:rPr>
        <w:t xml:space="preserve"> the criminal process and </w:t>
      </w:r>
      <w:proofErr w:type="spellStart"/>
      <w:r w:rsidRPr="0033455E">
        <w:rPr>
          <w:lang w:val="en-US"/>
        </w:rPr>
        <w:t>emphasises</w:t>
      </w:r>
      <w:proofErr w:type="spellEnd"/>
      <w:r w:rsidRPr="0033455E">
        <w:rPr>
          <w:lang w:val="en-US"/>
        </w:rPr>
        <w:t xml:space="preserve"> the importance of this being grounded in an excellent integrated policy. </w:t>
      </w:r>
    </w:p>
    <w:p w14:paraId="4010D94D" w14:textId="10C82A64" w:rsidR="0033455E" w:rsidRPr="0033455E" w:rsidRDefault="0033455E" w:rsidP="0033455E">
      <w:r w:rsidRPr="0033455E">
        <w:rPr>
          <w:lang w:val="en-US"/>
        </w:rPr>
        <w:t>These pillars also serve as a road map for Ireland's Third National Strategy on Domestic, Sexual,</w:t>
      </w:r>
      <w:r w:rsidRPr="0033455E">
        <w:t xml:space="preserve"> and Gender-Based Violence. The Department of Justice developed this strategy, which will be implemented between 2022 and </w:t>
      </w:r>
      <w:r w:rsidR="00C5768D">
        <w:t>20</w:t>
      </w:r>
      <w:r w:rsidRPr="0033455E">
        <w:t>26.</w:t>
      </w:r>
    </w:p>
    <w:p w14:paraId="616D3EE1" w14:textId="77777777" w:rsidR="0033455E" w:rsidRPr="0033455E" w:rsidRDefault="0033455E" w:rsidP="0033455E">
      <w:pPr>
        <w:rPr>
          <w:b/>
          <w:bCs/>
          <w:lang w:val="en-US"/>
        </w:rPr>
      </w:pPr>
      <w:r w:rsidRPr="0033455E">
        <w:rPr>
          <w:lang w:val="en-US"/>
        </w:rPr>
        <w:t xml:space="preserve">More information can be found here: </w:t>
      </w:r>
    </w:p>
    <w:p w14:paraId="4EFF3954" w14:textId="6E467D66" w:rsidR="00C82CF0" w:rsidRDefault="0033455E" w:rsidP="00C82CF0">
      <w:pPr>
        <w:ind w:left="720"/>
        <w:rPr>
          <w:lang w:val="en-US"/>
        </w:rPr>
      </w:pPr>
      <w:hyperlink r:id="rId11" w:history="1">
        <w:r w:rsidRPr="0033455E">
          <w:rPr>
            <w:rStyle w:val="Hyperlink"/>
            <w:lang w:val="en-US"/>
          </w:rPr>
          <w:t>https://assets.gov.ie/228481/69e48889-49ea-49d6-8143-982f6cc28bac.pdf</w:t>
        </w:r>
      </w:hyperlink>
      <w:r w:rsidRPr="0033455E">
        <w:rPr>
          <w:lang w:val="en-US"/>
        </w:rPr>
        <w:t xml:space="preserve"> </w:t>
      </w:r>
      <w:r w:rsidR="00C82CF0">
        <w:rPr>
          <w:lang w:val="en-US"/>
        </w:rPr>
        <w:br w:type="page"/>
      </w:r>
    </w:p>
    <w:p w14:paraId="30473817" w14:textId="77777777" w:rsidR="0033455E" w:rsidRPr="0033455E" w:rsidRDefault="0033455E" w:rsidP="0033455E">
      <w:pPr>
        <w:numPr>
          <w:ilvl w:val="1"/>
          <w:numId w:val="1"/>
        </w:numPr>
        <w:rPr>
          <w:b/>
          <w:bCs/>
          <w:lang w:val="en-US"/>
        </w:rPr>
      </w:pPr>
      <w:r w:rsidRPr="0033455E">
        <w:rPr>
          <w:b/>
          <w:bCs/>
          <w:lang w:val="en-US"/>
        </w:rPr>
        <w:lastRenderedPageBreak/>
        <w:t xml:space="preserve">Irelands New Statutory Agency, CUAN </w:t>
      </w:r>
    </w:p>
    <w:p w14:paraId="373F8566" w14:textId="77777777" w:rsidR="0033455E" w:rsidRPr="00A61811" w:rsidRDefault="0033455E" w:rsidP="0033455E">
      <w:pPr>
        <w:rPr>
          <w:lang w:val="en-US"/>
        </w:rPr>
      </w:pPr>
      <w:r w:rsidRPr="0033455E">
        <w:rPr>
          <w:lang w:val="en-US"/>
        </w:rPr>
        <w:t>A.S.S.C.'s primary funder was the Department of Justice. However, recent developments in the DSGBV sector and enacting the Domestic, Sexual and Gender-Based Violence Agency Act (2023), passed in the Oireachtas in Nove</w:t>
      </w:r>
      <w:r w:rsidRPr="00A61811">
        <w:rPr>
          <w:lang w:val="en-US"/>
        </w:rPr>
        <w:t xml:space="preserve">mber 2023, created a new statutory state agency, CUAN. </w:t>
      </w:r>
    </w:p>
    <w:p w14:paraId="1AED78FE" w14:textId="77777777" w:rsidR="0033455E" w:rsidRPr="00A61811" w:rsidRDefault="0033455E" w:rsidP="0033455E">
      <w:pPr>
        <w:rPr>
          <w:lang w:val="en-US"/>
        </w:rPr>
      </w:pPr>
      <w:r w:rsidRPr="00A61811">
        <w:rPr>
          <w:lang w:val="en-US"/>
        </w:rPr>
        <w:t xml:space="preserve">This agency is responsible for coordinating government actions to tackle DSGBV and implementing the Third National Strategy on Domestic, Sexual, and Gender-Based Violence. The five core responsibilities detailed in this legislation are </w:t>
      </w:r>
    </w:p>
    <w:p w14:paraId="23476112" w14:textId="77777777" w:rsidR="0033455E" w:rsidRPr="00A61811" w:rsidRDefault="0033455E" w:rsidP="00C82CF0">
      <w:pPr>
        <w:spacing w:after="0"/>
        <w:ind w:left="720"/>
        <w:rPr>
          <w:lang w:val="en-US"/>
        </w:rPr>
      </w:pPr>
      <w:r w:rsidRPr="00A61811">
        <w:rPr>
          <w:lang w:val="en-US"/>
        </w:rPr>
        <w:t>1. Service Delivery Development</w:t>
      </w:r>
    </w:p>
    <w:p w14:paraId="0463BD3E" w14:textId="77777777" w:rsidR="0033455E" w:rsidRPr="00A61811" w:rsidRDefault="0033455E" w:rsidP="00C82CF0">
      <w:pPr>
        <w:spacing w:after="0"/>
        <w:ind w:left="720"/>
        <w:rPr>
          <w:lang w:val="en-US"/>
        </w:rPr>
      </w:pPr>
      <w:r w:rsidRPr="00A61811">
        <w:rPr>
          <w:lang w:val="en-US"/>
        </w:rPr>
        <w:t>2. Stakeholder Engagement</w:t>
      </w:r>
    </w:p>
    <w:p w14:paraId="015FB4DD" w14:textId="77777777" w:rsidR="0033455E" w:rsidRPr="00A61811" w:rsidRDefault="0033455E" w:rsidP="00C82CF0">
      <w:pPr>
        <w:spacing w:after="0"/>
        <w:ind w:left="720"/>
        <w:rPr>
          <w:lang w:val="en-US"/>
        </w:rPr>
      </w:pPr>
      <w:r w:rsidRPr="00A61811">
        <w:rPr>
          <w:lang w:val="en-US"/>
        </w:rPr>
        <w:t>3. Governance &amp; Corporate Services</w:t>
      </w:r>
    </w:p>
    <w:p w14:paraId="4FAA44BF" w14:textId="77777777" w:rsidR="0033455E" w:rsidRPr="00A61811" w:rsidRDefault="0033455E" w:rsidP="00C82CF0">
      <w:pPr>
        <w:spacing w:after="0"/>
        <w:ind w:left="720"/>
        <w:rPr>
          <w:lang w:val="en-US"/>
        </w:rPr>
      </w:pPr>
      <w:r w:rsidRPr="00A61811">
        <w:rPr>
          <w:lang w:val="en-US"/>
        </w:rPr>
        <w:t>4. Research &amp; Data</w:t>
      </w:r>
    </w:p>
    <w:p w14:paraId="521C31A6" w14:textId="77777777" w:rsidR="0033455E" w:rsidRDefault="0033455E" w:rsidP="00C82CF0">
      <w:pPr>
        <w:spacing w:after="0"/>
        <w:ind w:left="720"/>
      </w:pPr>
      <w:r w:rsidRPr="00A61811">
        <w:rPr>
          <w:lang w:val="en-US"/>
        </w:rPr>
        <w:t>5. Communications, Campaigns, and</w:t>
      </w:r>
      <w:r w:rsidRPr="00A61811">
        <w:t xml:space="preserve"> Education. </w:t>
      </w:r>
    </w:p>
    <w:p w14:paraId="7A549ABC" w14:textId="77777777" w:rsidR="00C82CF0" w:rsidRPr="00A61811" w:rsidRDefault="00C82CF0" w:rsidP="00C82CF0">
      <w:pPr>
        <w:spacing w:after="0"/>
        <w:ind w:left="720"/>
      </w:pPr>
    </w:p>
    <w:p w14:paraId="45F014B6" w14:textId="12BF5746" w:rsidR="0096504E" w:rsidRPr="00A61811" w:rsidRDefault="0033455E" w:rsidP="0033455E">
      <w:pPr>
        <w:rPr>
          <w:lang w:val="en-US"/>
        </w:rPr>
      </w:pPr>
      <w:r w:rsidRPr="00A61811">
        <w:rPr>
          <w:lang w:val="en-US"/>
        </w:rPr>
        <w:t>A.S.S.C.  funding now falls under this new</w:t>
      </w:r>
      <w:r w:rsidR="00FF1DCC" w:rsidRPr="00A61811">
        <w:rPr>
          <w:lang w:val="en-US"/>
        </w:rPr>
        <w:t xml:space="preserve"> statutory </w:t>
      </w:r>
      <w:r w:rsidRPr="00A61811">
        <w:rPr>
          <w:lang w:val="en-US"/>
        </w:rPr>
        <w:t xml:space="preserve">agency. </w:t>
      </w:r>
      <w:r w:rsidR="005965D9" w:rsidRPr="00A61811">
        <w:rPr>
          <w:lang w:val="en-US"/>
        </w:rPr>
        <w:t>The Invitation to Tender has been developed in conjunction with Cuan with the purpose of collaboration being to inform a process on service development</w:t>
      </w:r>
    </w:p>
    <w:p w14:paraId="73138721" w14:textId="77777777" w:rsidR="005965D9" w:rsidRPr="00A61811" w:rsidRDefault="005965D9" w:rsidP="005965D9">
      <w:pPr>
        <w:rPr>
          <w:lang w:val="en-US"/>
        </w:rPr>
      </w:pPr>
    </w:p>
    <w:p w14:paraId="4F33DFF8" w14:textId="15761251" w:rsidR="005965D9" w:rsidRPr="00C82CF0" w:rsidRDefault="005965D9" w:rsidP="00C82CF0">
      <w:pPr>
        <w:pStyle w:val="Heading3"/>
      </w:pPr>
      <w:r w:rsidRPr="00C82CF0">
        <w:t>The Aim &amp; Objectives of the Independent Service</w:t>
      </w:r>
      <w:r w:rsidR="00A61811" w:rsidRPr="00C82CF0">
        <w:t xml:space="preserve"> Review</w:t>
      </w:r>
    </w:p>
    <w:p w14:paraId="0D0F3E31" w14:textId="77777777" w:rsidR="005965D9" w:rsidRPr="00A61811" w:rsidRDefault="005965D9" w:rsidP="005965D9">
      <w:pPr>
        <w:numPr>
          <w:ilvl w:val="1"/>
          <w:numId w:val="1"/>
        </w:numPr>
        <w:ind w:left="720"/>
        <w:rPr>
          <w:b/>
          <w:bCs/>
          <w:lang w:val="en-US"/>
        </w:rPr>
      </w:pPr>
      <w:r w:rsidRPr="00A61811">
        <w:rPr>
          <w:b/>
          <w:bCs/>
          <w:lang w:val="en-US"/>
        </w:rPr>
        <w:t xml:space="preserve">Aim </w:t>
      </w:r>
    </w:p>
    <w:p w14:paraId="44E013DC" w14:textId="1F404642" w:rsidR="005965D9" w:rsidRPr="00A61811" w:rsidRDefault="005965D9" w:rsidP="005965D9">
      <w:pPr>
        <w:ind w:left="720"/>
      </w:pPr>
      <w:r w:rsidRPr="00A61811">
        <w:rPr>
          <w:lang w:val="en-US"/>
        </w:rPr>
        <w:t>Review the DSGBV areas of service provision in ASSC t</w:t>
      </w:r>
      <w:r w:rsidRPr="00A61811">
        <w:t xml:space="preserve">o develop an understanding of the successes and challenges, with a view to </w:t>
      </w:r>
      <w:proofErr w:type="gramStart"/>
      <w:r w:rsidRPr="00A61811">
        <w:t>strengthen</w:t>
      </w:r>
      <w:proofErr w:type="gramEnd"/>
      <w:r w:rsidRPr="00A61811">
        <w:t xml:space="preserve"> and streamline overall service delivery.</w:t>
      </w:r>
    </w:p>
    <w:p w14:paraId="0831D328" w14:textId="479DD751" w:rsidR="005965D9" w:rsidRPr="0071308A" w:rsidRDefault="005965D9" w:rsidP="005965D9">
      <w:pPr>
        <w:ind w:left="720"/>
        <w:rPr>
          <w:b/>
          <w:bCs/>
          <w:i/>
          <w:iCs/>
          <w:lang w:val="en-US"/>
        </w:rPr>
      </w:pPr>
      <w:r w:rsidRPr="0071308A">
        <w:rPr>
          <w:i/>
          <w:iCs/>
          <w:u w:val="single"/>
        </w:rPr>
        <w:t>Note:</w:t>
      </w:r>
      <w:r w:rsidRPr="0071308A">
        <w:rPr>
          <w:i/>
          <w:iCs/>
        </w:rPr>
        <w:t xml:space="preserve"> </w:t>
      </w:r>
      <w:r w:rsidR="009E0A52" w:rsidRPr="0071308A">
        <w:rPr>
          <w:i/>
          <w:iCs/>
        </w:rPr>
        <w:t xml:space="preserve">due to ethical considerations, this review will engage solely with professionals and staff. While direct client participation is not included at this stage, the review may recommend future engagement with clients. Cuan is committed to developing such pathways for involvement by clients in due course. </w:t>
      </w:r>
    </w:p>
    <w:p w14:paraId="28AE56E2" w14:textId="77777777" w:rsidR="0071308A" w:rsidRPr="0071308A" w:rsidRDefault="0071308A" w:rsidP="0071308A">
      <w:pPr>
        <w:pStyle w:val="ListParagraph"/>
        <w:numPr>
          <w:ilvl w:val="0"/>
          <w:numId w:val="17"/>
        </w:numPr>
        <w:spacing w:after="0" w:line="240" w:lineRule="auto"/>
      </w:pPr>
      <w:r w:rsidRPr="0071308A">
        <w:t xml:space="preserve">Forensic Accompaniment </w:t>
      </w:r>
    </w:p>
    <w:p w14:paraId="4347D9FE" w14:textId="77777777" w:rsidR="0071308A" w:rsidRPr="0071308A" w:rsidRDefault="0071308A" w:rsidP="0071308A">
      <w:pPr>
        <w:spacing w:after="0" w:line="240" w:lineRule="auto"/>
        <w:ind w:left="720"/>
      </w:pPr>
      <w:r w:rsidRPr="0071308A">
        <w:t xml:space="preserve">Forensic accompaniment </w:t>
      </w:r>
      <w:bookmarkStart w:id="0" w:name="_Hlk195275800"/>
      <w:r w:rsidRPr="0071308A">
        <w:t xml:space="preserve">is provided to any child, young person, and family attending a </w:t>
      </w:r>
      <w:bookmarkEnd w:id="0"/>
      <w:r w:rsidRPr="0071308A">
        <w:t xml:space="preserve">Forensic medical examination.  A.S.S.C. volunteers provide this support. </w:t>
      </w:r>
    </w:p>
    <w:p w14:paraId="3682C076" w14:textId="77777777" w:rsidR="0071308A" w:rsidRPr="0071308A" w:rsidRDefault="0071308A" w:rsidP="0071308A">
      <w:pPr>
        <w:spacing w:after="0" w:line="240" w:lineRule="auto"/>
      </w:pPr>
    </w:p>
    <w:p w14:paraId="511E4AE1" w14:textId="77777777" w:rsidR="0071308A" w:rsidRPr="0071308A" w:rsidRDefault="0071308A" w:rsidP="0071308A">
      <w:pPr>
        <w:pStyle w:val="ListParagraph"/>
        <w:numPr>
          <w:ilvl w:val="0"/>
          <w:numId w:val="17"/>
        </w:numPr>
        <w:spacing w:after="0" w:line="240" w:lineRule="auto"/>
      </w:pPr>
      <w:r w:rsidRPr="0071308A">
        <w:t xml:space="preserve">Court Accompaniment </w:t>
      </w:r>
    </w:p>
    <w:p w14:paraId="122B75AE" w14:textId="77777777" w:rsidR="0071308A" w:rsidRPr="0071308A" w:rsidRDefault="0071308A" w:rsidP="0071308A">
      <w:pPr>
        <w:spacing w:after="0" w:line="240" w:lineRule="auto"/>
        <w:ind w:left="717"/>
      </w:pPr>
      <w:r w:rsidRPr="0071308A">
        <w:t xml:space="preserve">Court accompaniment is provided to any child, young person, and family attending a criminal court to provide testimony. A.S.S.C. volunteers and staff provide this support. </w:t>
      </w:r>
    </w:p>
    <w:p w14:paraId="284E42D1" w14:textId="77777777" w:rsidR="0071308A" w:rsidRPr="0071308A" w:rsidRDefault="0071308A" w:rsidP="0071308A">
      <w:pPr>
        <w:spacing w:after="0" w:line="240" w:lineRule="auto"/>
      </w:pPr>
    </w:p>
    <w:p w14:paraId="5D662504" w14:textId="77777777" w:rsidR="0071308A" w:rsidRPr="0071308A" w:rsidRDefault="0071308A" w:rsidP="0071308A">
      <w:pPr>
        <w:pStyle w:val="ListParagraph"/>
        <w:numPr>
          <w:ilvl w:val="0"/>
          <w:numId w:val="17"/>
        </w:numPr>
        <w:spacing w:after="0" w:line="240" w:lineRule="auto"/>
      </w:pPr>
      <w:r w:rsidRPr="0071308A">
        <w:t xml:space="preserve">Support &amp; Advocacy Phone Support </w:t>
      </w:r>
    </w:p>
    <w:p w14:paraId="32A6E32B" w14:textId="77777777" w:rsidR="0071308A" w:rsidRPr="0071308A" w:rsidRDefault="0071308A" w:rsidP="0071308A">
      <w:pPr>
        <w:spacing w:after="0" w:line="240" w:lineRule="auto"/>
        <w:ind w:left="717"/>
      </w:pPr>
      <w:r w:rsidRPr="0071308A">
        <w:t xml:space="preserve">This support is provided by A.S.S.C. Support &amp; Advocacy </w:t>
      </w:r>
      <w:proofErr w:type="gramStart"/>
      <w:r w:rsidRPr="0071308A">
        <w:t>Officers,  through</w:t>
      </w:r>
      <w:proofErr w:type="gramEnd"/>
      <w:r w:rsidRPr="0071308A">
        <w:t xml:space="preserve"> the phone and/or video chat. This is for any family member supporting a child or young person through the Criminal Justice System. </w:t>
      </w:r>
    </w:p>
    <w:p w14:paraId="770C4170" w14:textId="77777777" w:rsidR="005965D9" w:rsidRPr="00A61811" w:rsidRDefault="005965D9" w:rsidP="005965D9">
      <w:pPr>
        <w:rPr>
          <w:lang w:val="en-US"/>
        </w:rPr>
      </w:pPr>
    </w:p>
    <w:p w14:paraId="3397C24A" w14:textId="77777777" w:rsidR="0071308A" w:rsidRDefault="0071308A" w:rsidP="005965D9">
      <w:pPr>
        <w:rPr>
          <w:b/>
          <w:bCs/>
          <w:lang w:val="en-US"/>
        </w:rPr>
      </w:pPr>
    </w:p>
    <w:p w14:paraId="2C3759E8" w14:textId="22C0C281" w:rsidR="005965D9" w:rsidRPr="00A61811" w:rsidRDefault="0071308A" w:rsidP="005965D9">
      <w:pPr>
        <w:rPr>
          <w:b/>
          <w:bCs/>
          <w:lang w:val="en-US"/>
        </w:rPr>
      </w:pPr>
      <w:r>
        <w:rPr>
          <w:b/>
          <w:bCs/>
          <w:lang w:val="en-US"/>
        </w:rPr>
        <w:t xml:space="preserve">3.2 </w:t>
      </w:r>
      <w:r w:rsidR="005965D9" w:rsidRPr="00A61811">
        <w:rPr>
          <w:b/>
          <w:bCs/>
          <w:lang w:val="en-US"/>
        </w:rPr>
        <w:t xml:space="preserve">Objectives </w:t>
      </w:r>
    </w:p>
    <w:p w14:paraId="6280D931" w14:textId="6609B6B4" w:rsidR="005965D9" w:rsidRPr="00A61811" w:rsidRDefault="005965D9" w:rsidP="005965D9">
      <w:pPr>
        <w:rPr>
          <w:lang w:val="en-US"/>
        </w:rPr>
      </w:pPr>
      <w:r w:rsidRPr="00A61811">
        <w:rPr>
          <w:lang w:val="en-US"/>
        </w:rPr>
        <w:t>The following objectives have been developed and relate to the three core areas of direct service provision for review – forensic</w:t>
      </w:r>
      <w:r w:rsidR="009E0A52" w:rsidRPr="00A61811">
        <w:rPr>
          <w:lang w:val="en-US"/>
        </w:rPr>
        <w:t xml:space="preserve"> accompaniment</w:t>
      </w:r>
      <w:r w:rsidRPr="00A61811">
        <w:rPr>
          <w:lang w:val="en-US"/>
        </w:rPr>
        <w:t>, court</w:t>
      </w:r>
      <w:r w:rsidR="009E0A52" w:rsidRPr="00A61811">
        <w:rPr>
          <w:lang w:val="en-US"/>
        </w:rPr>
        <w:t xml:space="preserve"> accompaniment and</w:t>
      </w:r>
      <w:r w:rsidRPr="00A61811">
        <w:rPr>
          <w:lang w:val="en-US"/>
        </w:rPr>
        <w:t xml:space="preserve"> support and advocacy</w:t>
      </w:r>
      <w:r w:rsidR="009E0A52" w:rsidRPr="00A61811">
        <w:rPr>
          <w:lang w:val="en-US"/>
        </w:rPr>
        <w:t xml:space="preserve"> phone support</w:t>
      </w:r>
      <w:r w:rsidRPr="00A61811">
        <w:rPr>
          <w:lang w:val="en-US"/>
        </w:rPr>
        <w:t>.</w:t>
      </w:r>
    </w:p>
    <w:p w14:paraId="04192AAF" w14:textId="77777777" w:rsidR="005965D9" w:rsidRPr="00A61811" w:rsidRDefault="005965D9" w:rsidP="005965D9">
      <w:pPr>
        <w:rPr>
          <w:b/>
          <w:bCs/>
          <w:lang w:val="en-US"/>
        </w:rPr>
      </w:pPr>
      <w:r w:rsidRPr="00A61811">
        <w:rPr>
          <w:b/>
          <w:bCs/>
          <w:lang w:val="en-US"/>
        </w:rPr>
        <w:t xml:space="preserve">Objective 1 </w:t>
      </w:r>
      <w:r w:rsidRPr="00A61811">
        <w:t xml:space="preserve">Define the purpose of ASSC’s DSGBV service provision </w:t>
      </w:r>
    </w:p>
    <w:p w14:paraId="5487350B" w14:textId="77A61608" w:rsidR="005965D9" w:rsidRPr="00A61811" w:rsidRDefault="005965D9" w:rsidP="005965D9">
      <w:pPr>
        <w:numPr>
          <w:ilvl w:val="0"/>
          <w:numId w:val="7"/>
        </w:numPr>
      </w:pPr>
      <w:r w:rsidRPr="00A61811">
        <w:t>Detail an account of service development and provision to date</w:t>
      </w:r>
      <w:r w:rsidR="009E0A52" w:rsidRPr="00A61811">
        <w:t>,</w:t>
      </w:r>
      <w:r w:rsidRPr="00A61811">
        <w:t xml:space="preserve"> in line with the defined goals and objectives of the service.</w:t>
      </w:r>
    </w:p>
    <w:p w14:paraId="620ACD0C" w14:textId="77777777" w:rsidR="005965D9" w:rsidRPr="00A61811" w:rsidRDefault="005965D9" w:rsidP="005965D9">
      <w:pPr>
        <w:numPr>
          <w:ilvl w:val="0"/>
          <w:numId w:val="7"/>
        </w:numPr>
      </w:pPr>
      <w:r w:rsidRPr="00A61811">
        <w:lastRenderedPageBreak/>
        <w:t xml:space="preserve">Detail the evidence base informing current practices, service delivery and development. For example, how have the needs of victims/survivors been identified (through research etc) that has led to the forming of current service provision. </w:t>
      </w:r>
    </w:p>
    <w:p w14:paraId="53692E55" w14:textId="77777777" w:rsidR="005965D9" w:rsidRPr="00A61811" w:rsidRDefault="005965D9" w:rsidP="005965D9">
      <w:pPr>
        <w:numPr>
          <w:ilvl w:val="0"/>
          <w:numId w:val="7"/>
        </w:numPr>
      </w:pPr>
      <w:r w:rsidRPr="00A61811">
        <w:t>Detail the referral pathways to/from the service– provide a representative case study on most frequent referral pathway.</w:t>
      </w:r>
    </w:p>
    <w:p w14:paraId="33B1997C" w14:textId="77777777" w:rsidR="009E0A52" w:rsidRPr="00A61811" w:rsidRDefault="005965D9" w:rsidP="005965D9">
      <w:pPr>
        <w:numPr>
          <w:ilvl w:val="0"/>
          <w:numId w:val="7"/>
        </w:numPr>
      </w:pPr>
      <w:r w:rsidRPr="00A61811">
        <w:t xml:space="preserve">Describe the existing collaborative approach to meeting the </w:t>
      </w:r>
      <w:r w:rsidR="009E0A52" w:rsidRPr="00A61811">
        <w:t>client’s</w:t>
      </w:r>
      <w:r w:rsidRPr="00A61811">
        <w:t xml:space="preserve"> needs in partnership with other statutory and non-statutory organisations. </w:t>
      </w:r>
    </w:p>
    <w:p w14:paraId="4CDAF88E" w14:textId="22BCA57B" w:rsidR="005965D9" w:rsidRPr="00A61811" w:rsidRDefault="009E0A52" w:rsidP="005965D9">
      <w:pPr>
        <w:numPr>
          <w:ilvl w:val="0"/>
          <w:numId w:val="7"/>
        </w:numPr>
      </w:pPr>
      <w:r w:rsidRPr="00A61811">
        <w:t>Identify for comparison purposes, other models of similar service provision and literature / research to provide a comparable for ASSC service provision.</w:t>
      </w:r>
    </w:p>
    <w:p w14:paraId="12C058C2" w14:textId="77777777" w:rsidR="0071308A" w:rsidRDefault="0071308A" w:rsidP="005965D9">
      <w:pPr>
        <w:rPr>
          <w:b/>
          <w:bCs/>
        </w:rPr>
      </w:pPr>
    </w:p>
    <w:p w14:paraId="077E3CE0" w14:textId="57F2A568" w:rsidR="005965D9" w:rsidRPr="00A61811" w:rsidRDefault="005965D9" w:rsidP="005965D9">
      <w:r w:rsidRPr="00A61811">
        <w:rPr>
          <w:b/>
          <w:bCs/>
        </w:rPr>
        <w:t>Objective 2</w:t>
      </w:r>
      <w:r w:rsidRPr="00A61811">
        <w:t xml:space="preserve"> Resources and capacity </w:t>
      </w:r>
    </w:p>
    <w:p w14:paraId="10F21653" w14:textId="77777777" w:rsidR="005965D9" w:rsidRPr="00A61811" w:rsidRDefault="005965D9" w:rsidP="005965D9">
      <w:pPr>
        <w:numPr>
          <w:ilvl w:val="0"/>
          <w:numId w:val="7"/>
        </w:numPr>
      </w:pPr>
      <w:r w:rsidRPr="00A61811">
        <w:t>Describe the current staff/volunteer roles for successful delivery of services and the training, education and experience levels of staff.</w:t>
      </w:r>
    </w:p>
    <w:p w14:paraId="210EEC0F" w14:textId="156CAF48" w:rsidR="005965D9" w:rsidRPr="00A61811" w:rsidRDefault="005965D9" w:rsidP="005965D9">
      <w:pPr>
        <w:numPr>
          <w:ilvl w:val="0"/>
          <w:numId w:val="7"/>
        </w:numPr>
      </w:pPr>
      <w:r w:rsidRPr="00A61811">
        <w:rPr>
          <w:lang w:val="en-US"/>
        </w:rPr>
        <w:t xml:space="preserve">An overview of </w:t>
      </w:r>
      <w:r w:rsidR="009E0A52" w:rsidRPr="00A61811">
        <w:rPr>
          <w:lang w:val="en-US"/>
        </w:rPr>
        <w:t xml:space="preserve">the </w:t>
      </w:r>
      <w:r w:rsidRPr="00A61811">
        <w:rPr>
          <w:lang w:val="en-US"/>
        </w:rPr>
        <w:t>strengths and weaknesses of</w:t>
      </w:r>
      <w:r w:rsidR="009E0A52" w:rsidRPr="00A61811">
        <w:rPr>
          <w:lang w:val="en-US"/>
        </w:rPr>
        <w:t xml:space="preserve"> the</w:t>
      </w:r>
      <w:r w:rsidRPr="00A61811">
        <w:rPr>
          <w:lang w:val="en-US"/>
        </w:rPr>
        <w:t xml:space="preserve"> current volunteer-led service provision</w:t>
      </w:r>
      <w:r w:rsidR="009E0A52" w:rsidRPr="00A61811">
        <w:rPr>
          <w:lang w:val="en-US"/>
        </w:rPr>
        <w:t>.</w:t>
      </w:r>
    </w:p>
    <w:p w14:paraId="5482BEA9" w14:textId="2C00A3B3" w:rsidR="005965D9" w:rsidRPr="00A61811" w:rsidRDefault="005965D9" w:rsidP="005965D9">
      <w:pPr>
        <w:numPr>
          <w:ilvl w:val="0"/>
          <w:numId w:val="7"/>
        </w:numPr>
      </w:pPr>
      <w:r w:rsidRPr="00A61811">
        <w:t xml:space="preserve">An analysis of how funding is utilised across the service to inform </w:t>
      </w:r>
      <w:r w:rsidR="009E0A52" w:rsidRPr="00A61811">
        <w:t xml:space="preserve">future </w:t>
      </w:r>
      <w:r w:rsidRPr="00A61811">
        <w:t>service</w:t>
      </w:r>
      <w:r w:rsidR="009E0A52" w:rsidRPr="00A61811">
        <w:t>/</w:t>
      </w:r>
      <w:r w:rsidRPr="00A61811">
        <w:t>business planning</w:t>
      </w:r>
      <w:r w:rsidR="009E0A52" w:rsidRPr="00A61811">
        <w:t>.</w:t>
      </w:r>
    </w:p>
    <w:p w14:paraId="36D9309D" w14:textId="77777777" w:rsidR="005965D9" w:rsidRPr="00A61811" w:rsidRDefault="005965D9" w:rsidP="005965D9"/>
    <w:p w14:paraId="452ABAFF" w14:textId="77777777" w:rsidR="005965D9" w:rsidRPr="00A61811" w:rsidRDefault="005965D9" w:rsidP="005965D9">
      <w:r w:rsidRPr="00A61811">
        <w:rPr>
          <w:b/>
          <w:bCs/>
        </w:rPr>
        <w:t>Objective 3</w:t>
      </w:r>
      <w:r w:rsidRPr="00A61811">
        <w:t xml:space="preserve"> Measure service outcomes </w:t>
      </w:r>
    </w:p>
    <w:p w14:paraId="0C44C7CF" w14:textId="77777777" w:rsidR="009E0A52" w:rsidRPr="00A61811" w:rsidRDefault="005965D9" w:rsidP="009E0A52">
      <w:pPr>
        <w:numPr>
          <w:ilvl w:val="0"/>
          <w:numId w:val="8"/>
        </w:numPr>
        <w:ind w:left="1440"/>
      </w:pPr>
      <w:r w:rsidRPr="00A61811">
        <w:t>Determine how and whether the service is achieving its intended outcomes, from a qualitative and quantitative perspective with a focus on the ‘care/support’ received by clients.</w:t>
      </w:r>
      <w:r w:rsidR="009E0A52" w:rsidRPr="00A61811">
        <w:t xml:space="preserve"> </w:t>
      </w:r>
    </w:p>
    <w:p w14:paraId="135498D0" w14:textId="25BAD9DD" w:rsidR="005965D9" w:rsidRPr="00A61811" w:rsidRDefault="009E0A52" w:rsidP="009E0A52">
      <w:pPr>
        <w:ind w:left="1440"/>
      </w:pPr>
      <w:r w:rsidRPr="00A61811">
        <w:t>Note: due to ethical considerations, this review will engage solely with professionals and staff. While direct client participation is not included at this stage, the review may recommend future engagement with clients. Cuan is committed to developing such pathways for involvement by clients in due course.</w:t>
      </w:r>
    </w:p>
    <w:p w14:paraId="2F7724AD" w14:textId="77777777" w:rsidR="005965D9" w:rsidRPr="00A61811" w:rsidRDefault="005965D9" w:rsidP="005965D9">
      <w:pPr>
        <w:ind w:left="1440"/>
      </w:pPr>
    </w:p>
    <w:p w14:paraId="08C6D4C5" w14:textId="77777777" w:rsidR="005965D9" w:rsidRPr="00A61811" w:rsidRDefault="005965D9" w:rsidP="005965D9">
      <w:r w:rsidRPr="00A61811">
        <w:rPr>
          <w:b/>
          <w:bCs/>
        </w:rPr>
        <w:t>Objective 4</w:t>
      </w:r>
      <w:r w:rsidRPr="00A61811">
        <w:t xml:space="preserve"> Identify gaps and challenges on</w:t>
      </w:r>
    </w:p>
    <w:p w14:paraId="4EDD4DD3" w14:textId="77777777" w:rsidR="005965D9" w:rsidRPr="00A61811" w:rsidRDefault="005965D9" w:rsidP="00C82CF0">
      <w:pPr>
        <w:numPr>
          <w:ilvl w:val="0"/>
          <w:numId w:val="10"/>
        </w:numPr>
        <w:spacing w:after="0"/>
      </w:pPr>
      <w:r w:rsidRPr="00A61811">
        <w:t>Accessibility (complexity and intersectionality of need)</w:t>
      </w:r>
    </w:p>
    <w:p w14:paraId="1AFF83B4" w14:textId="77777777" w:rsidR="005965D9" w:rsidRPr="00A61811" w:rsidRDefault="005965D9" w:rsidP="00C82CF0">
      <w:pPr>
        <w:numPr>
          <w:ilvl w:val="0"/>
          <w:numId w:val="10"/>
        </w:numPr>
        <w:spacing w:after="0"/>
      </w:pPr>
      <w:r w:rsidRPr="00A61811">
        <w:t xml:space="preserve">Referral pathways </w:t>
      </w:r>
    </w:p>
    <w:p w14:paraId="576C4105" w14:textId="77777777" w:rsidR="005965D9" w:rsidRPr="00A61811" w:rsidRDefault="005965D9" w:rsidP="00C82CF0">
      <w:pPr>
        <w:numPr>
          <w:ilvl w:val="0"/>
          <w:numId w:val="10"/>
        </w:numPr>
        <w:spacing w:after="0"/>
      </w:pPr>
      <w:r w:rsidRPr="00A61811">
        <w:t>Collaborative partnerships</w:t>
      </w:r>
    </w:p>
    <w:p w14:paraId="6F07323B" w14:textId="77777777" w:rsidR="005965D9" w:rsidRPr="00A61811" w:rsidRDefault="005965D9" w:rsidP="00C82CF0">
      <w:pPr>
        <w:numPr>
          <w:ilvl w:val="0"/>
          <w:numId w:val="10"/>
        </w:numPr>
        <w:spacing w:after="0"/>
      </w:pPr>
      <w:r w:rsidRPr="00A61811">
        <w:t>Waiting list and refusal rate</w:t>
      </w:r>
    </w:p>
    <w:p w14:paraId="5F285392" w14:textId="76906C35" w:rsidR="0071308A" w:rsidRPr="0071308A" w:rsidRDefault="0071308A" w:rsidP="00611D49">
      <w:pPr>
        <w:pStyle w:val="ListParagraph"/>
        <w:numPr>
          <w:ilvl w:val="0"/>
          <w:numId w:val="10"/>
        </w:numPr>
        <w:spacing w:after="0"/>
      </w:pPr>
      <w:r w:rsidRPr="0071308A">
        <w:t xml:space="preserve">The impact </w:t>
      </w:r>
      <w:r w:rsidR="00C82CF0">
        <w:t xml:space="preserve">to staff and volunteers </w:t>
      </w:r>
      <w:r w:rsidRPr="0071308A">
        <w:t xml:space="preserve">of working </w:t>
      </w:r>
      <w:proofErr w:type="gramStart"/>
      <w:r w:rsidRPr="0071308A">
        <w:t>in the area of</w:t>
      </w:r>
      <w:proofErr w:type="gramEnd"/>
      <w:r w:rsidRPr="0071308A">
        <w:t xml:space="preserve"> DSGBV </w:t>
      </w:r>
    </w:p>
    <w:p w14:paraId="7AF6174D" w14:textId="77777777" w:rsidR="005965D9" w:rsidRPr="00A61811" w:rsidRDefault="005965D9" w:rsidP="005965D9">
      <w:pPr>
        <w:ind w:left="2160"/>
      </w:pPr>
    </w:p>
    <w:p w14:paraId="4DE8F0CA" w14:textId="77777777" w:rsidR="005965D9" w:rsidRPr="00A61811" w:rsidRDefault="005965D9" w:rsidP="005965D9">
      <w:r w:rsidRPr="00A61811">
        <w:rPr>
          <w:b/>
          <w:bCs/>
        </w:rPr>
        <w:t>Objective 5</w:t>
      </w:r>
      <w:r w:rsidRPr="00A61811">
        <w:t xml:space="preserve"> Recommendations for future policy and practices</w:t>
      </w:r>
    </w:p>
    <w:p w14:paraId="7C6A640C" w14:textId="4995C6C3" w:rsidR="00C82CF0" w:rsidRDefault="005965D9" w:rsidP="005965D9">
      <w:pPr>
        <w:pStyle w:val="ListParagraph"/>
        <w:numPr>
          <w:ilvl w:val="0"/>
          <w:numId w:val="13"/>
        </w:numPr>
      </w:pPr>
      <w:r w:rsidRPr="00A61811">
        <w:t>Offer recommendations to inform the development of a model of service provision</w:t>
      </w:r>
      <w:r w:rsidR="009E0A52" w:rsidRPr="00A61811">
        <w:t>.</w:t>
      </w:r>
    </w:p>
    <w:p w14:paraId="188D2B6E" w14:textId="515545B5" w:rsidR="005965D9" w:rsidRPr="00A61811" w:rsidRDefault="00C82CF0" w:rsidP="005965D9">
      <w:r>
        <w:br w:type="page"/>
      </w:r>
    </w:p>
    <w:p w14:paraId="7AC7D33B" w14:textId="77777777" w:rsidR="005965D9" w:rsidRPr="00A61811" w:rsidRDefault="005965D9" w:rsidP="00C82CF0">
      <w:pPr>
        <w:pStyle w:val="Heading3"/>
        <w:rPr>
          <w:lang w:val="en-US"/>
        </w:rPr>
      </w:pPr>
      <w:r w:rsidRPr="00A61811">
        <w:rPr>
          <w:lang w:val="en-US"/>
        </w:rPr>
        <w:lastRenderedPageBreak/>
        <w:t xml:space="preserve">Methodology </w:t>
      </w:r>
    </w:p>
    <w:p w14:paraId="780E4A3F" w14:textId="77777777" w:rsidR="009E0A52" w:rsidRPr="00A61811" w:rsidRDefault="005965D9" w:rsidP="005965D9">
      <w:pPr>
        <w:rPr>
          <w:lang w:val="en-US"/>
        </w:rPr>
      </w:pPr>
      <w:r w:rsidRPr="00A61811">
        <w:rPr>
          <w:lang w:val="en-US"/>
        </w:rPr>
        <w:t xml:space="preserve">A qualitative research approach is required </w:t>
      </w:r>
      <w:r w:rsidR="009E0A52" w:rsidRPr="00A61811">
        <w:rPr>
          <w:lang w:val="en-US"/>
        </w:rPr>
        <w:t xml:space="preserve">engaging with ASSC Management, staff and other professionals. </w:t>
      </w:r>
    </w:p>
    <w:p w14:paraId="5698675D" w14:textId="183A7F7D" w:rsidR="00A61811" w:rsidRPr="00A61811" w:rsidRDefault="00A61811" w:rsidP="005965D9">
      <w:pPr>
        <w:rPr>
          <w:lang w:val="en-US"/>
        </w:rPr>
      </w:pPr>
      <w:r w:rsidRPr="00A61811">
        <w:t>Due to ethical considerations, this review will engage solely with professionals and staff. Direct client participation is not included at this stage. T</w:t>
      </w:r>
      <w:r w:rsidRPr="00A61811">
        <w:rPr>
          <w:lang w:val="en-US"/>
        </w:rPr>
        <w:t>his includes both in person and other forms of engagement such as surveys or questionnaires.</w:t>
      </w:r>
      <w:r w:rsidRPr="00A61811">
        <w:t xml:space="preserve"> The review may recommend future engagement with clients. Cuan is committed to developing such pathways for involvement by clients in due course.</w:t>
      </w:r>
    </w:p>
    <w:p w14:paraId="0EC59082" w14:textId="77777777" w:rsidR="005965D9" w:rsidRDefault="005965D9" w:rsidP="005965D9">
      <w:r w:rsidRPr="00A61811">
        <w:t xml:space="preserve">Conduct desktop research on comparable models of service provision, internationally. </w:t>
      </w:r>
    </w:p>
    <w:p w14:paraId="7613084C" w14:textId="77777777" w:rsidR="00C82CF0" w:rsidRPr="00A61811" w:rsidRDefault="00C82CF0" w:rsidP="005965D9"/>
    <w:p w14:paraId="4C459388" w14:textId="77777777" w:rsidR="005965D9" w:rsidRPr="00A61811" w:rsidRDefault="005965D9" w:rsidP="00C82CF0">
      <w:pPr>
        <w:pStyle w:val="Heading3"/>
        <w:rPr>
          <w:lang w:val="en-US"/>
        </w:rPr>
      </w:pPr>
      <w:r w:rsidRPr="00A61811">
        <w:rPr>
          <w:lang w:val="en-US"/>
        </w:rPr>
        <w:t xml:space="preserve">Scope </w:t>
      </w:r>
    </w:p>
    <w:p w14:paraId="2439AD1D" w14:textId="5104E299" w:rsidR="005965D9" w:rsidRPr="00A61811" w:rsidRDefault="005965D9" w:rsidP="005965D9">
      <w:r w:rsidRPr="00A61811">
        <w:rPr>
          <w:lang w:val="en-US"/>
        </w:rPr>
        <w:t xml:space="preserve">An independent body should conduct the </w:t>
      </w:r>
      <w:r w:rsidR="00A61811">
        <w:rPr>
          <w:lang w:val="en-US"/>
        </w:rPr>
        <w:t>review</w:t>
      </w:r>
      <w:r w:rsidRPr="00A61811">
        <w:t xml:space="preserve">. It will provide a neutral, summative analysis of the charity's success and areas of limitations.  </w:t>
      </w:r>
    </w:p>
    <w:tbl>
      <w:tblPr>
        <w:tblStyle w:val="TableGrid"/>
        <w:tblW w:w="10490" w:type="dxa"/>
        <w:tblInd w:w="-5" w:type="dxa"/>
        <w:tblLook w:val="04A0" w:firstRow="1" w:lastRow="0" w:firstColumn="1" w:lastColumn="0" w:noHBand="0" w:noVBand="1"/>
      </w:tblPr>
      <w:tblGrid>
        <w:gridCol w:w="2161"/>
        <w:gridCol w:w="8329"/>
      </w:tblGrid>
      <w:tr w:rsidR="00A61811" w:rsidRPr="00A61811" w14:paraId="1E350C3C" w14:textId="77777777" w:rsidTr="00014E72">
        <w:tc>
          <w:tcPr>
            <w:tcW w:w="2161" w:type="dxa"/>
          </w:tcPr>
          <w:p w14:paraId="53B2E9CE" w14:textId="77777777" w:rsidR="005965D9" w:rsidRPr="00A61811" w:rsidRDefault="005965D9" w:rsidP="00014E72">
            <w:pPr>
              <w:spacing w:after="160" w:line="259" w:lineRule="auto"/>
              <w:rPr>
                <w:b/>
                <w:bCs/>
                <w:lang w:val="en-US"/>
              </w:rPr>
            </w:pPr>
            <w:r w:rsidRPr="00A61811">
              <w:rPr>
                <w:b/>
                <w:bCs/>
                <w:lang w:val="en-US"/>
              </w:rPr>
              <w:t xml:space="preserve">Aspect </w:t>
            </w:r>
          </w:p>
        </w:tc>
        <w:tc>
          <w:tcPr>
            <w:tcW w:w="8329" w:type="dxa"/>
          </w:tcPr>
          <w:p w14:paraId="11C06D7D" w14:textId="5909F262" w:rsidR="005965D9" w:rsidRPr="00A61811" w:rsidRDefault="005965D9" w:rsidP="00014E72">
            <w:pPr>
              <w:spacing w:after="160" w:line="259" w:lineRule="auto"/>
              <w:rPr>
                <w:b/>
                <w:bCs/>
                <w:lang w:val="en-US"/>
              </w:rPr>
            </w:pPr>
            <w:r w:rsidRPr="00A61811">
              <w:rPr>
                <w:b/>
                <w:bCs/>
                <w:lang w:val="en-US"/>
              </w:rPr>
              <w:t xml:space="preserve">Independent </w:t>
            </w:r>
            <w:r w:rsidR="00A61811">
              <w:rPr>
                <w:b/>
                <w:bCs/>
                <w:lang w:val="en-US"/>
              </w:rPr>
              <w:t xml:space="preserve">Review </w:t>
            </w:r>
          </w:p>
        </w:tc>
      </w:tr>
      <w:tr w:rsidR="00A61811" w:rsidRPr="00A61811" w14:paraId="3EC2E6DF" w14:textId="77777777" w:rsidTr="00014E72">
        <w:tc>
          <w:tcPr>
            <w:tcW w:w="2161" w:type="dxa"/>
          </w:tcPr>
          <w:p w14:paraId="742319A2" w14:textId="77777777" w:rsidR="005965D9" w:rsidRPr="00A61811" w:rsidRDefault="005965D9" w:rsidP="00014E72">
            <w:pPr>
              <w:spacing w:after="160" w:line="259" w:lineRule="auto"/>
              <w:rPr>
                <w:lang w:val="en-US"/>
              </w:rPr>
            </w:pPr>
            <w:r w:rsidRPr="00A61811">
              <w:rPr>
                <w:lang w:val="en-US"/>
              </w:rPr>
              <w:t xml:space="preserve">Purpose </w:t>
            </w:r>
          </w:p>
        </w:tc>
        <w:tc>
          <w:tcPr>
            <w:tcW w:w="8329" w:type="dxa"/>
          </w:tcPr>
          <w:p w14:paraId="019B52C4" w14:textId="77777777" w:rsidR="005965D9" w:rsidRPr="00A61811" w:rsidRDefault="005965D9" w:rsidP="00014E72">
            <w:pPr>
              <w:rPr>
                <w:lang w:val="en-US"/>
              </w:rPr>
            </w:pPr>
            <w:r w:rsidRPr="00A61811">
              <w:rPr>
                <w:lang w:val="en-US"/>
              </w:rPr>
              <w:t>Review and evaluate the DSGBV areas of service provision in ASSC.</w:t>
            </w:r>
          </w:p>
        </w:tc>
      </w:tr>
      <w:tr w:rsidR="00A61811" w:rsidRPr="00A61811" w14:paraId="1A0FE2CA" w14:textId="77777777" w:rsidTr="00014E72">
        <w:tc>
          <w:tcPr>
            <w:tcW w:w="2161" w:type="dxa"/>
          </w:tcPr>
          <w:p w14:paraId="561FBF4B" w14:textId="77777777" w:rsidR="005965D9" w:rsidRPr="00A61811" w:rsidRDefault="005965D9" w:rsidP="00014E72">
            <w:pPr>
              <w:spacing w:after="160" w:line="259" w:lineRule="auto"/>
              <w:rPr>
                <w:lang w:val="en-US"/>
              </w:rPr>
            </w:pPr>
            <w:r w:rsidRPr="00A61811">
              <w:rPr>
                <w:lang w:val="en-US"/>
              </w:rPr>
              <w:t xml:space="preserve">Position </w:t>
            </w:r>
          </w:p>
        </w:tc>
        <w:tc>
          <w:tcPr>
            <w:tcW w:w="8329" w:type="dxa"/>
          </w:tcPr>
          <w:p w14:paraId="1AFA9416" w14:textId="054ADBBB" w:rsidR="005965D9" w:rsidRPr="00A61811" w:rsidRDefault="005965D9" w:rsidP="00014E72">
            <w:pPr>
              <w:spacing w:after="160" w:line="259" w:lineRule="auto"/>
              <w:rPr>
                <w:lang w:val="en-US"/>
              </w:rPr>
            </w:pPr>
            <w:r w:rsidRPr="00A61811">
              <w:rPr>
                <w:lang w:val="en-US"/>
              </w:rPr>
              <w:t xml:space="preserve">This </w:t>
            </w:r>
            <w:r w:rsidR="00A61811">
              <w:rPr>
                <w:lang w:val="en-US"/>
              </w:rPr>
              <w:t xml:space="preserve">review </w:t>
            </w:r>
            <w:r w:rsidRPr="00A61811">
              <w:rPr>
                <w:lang w:val="en-US"/>
              </w:rPr>
              <w:t>is external to the project and the charity's primary funders (CUAN)</w:t>
            </w:r>
          </w:p>
        </w:tc>
      </w:tr>
      <w:tr w:rsidR="00A61811" w:rsidRPr="00A61811" w14:paraId="47B4C1C6" w14:textId="77777777" w:rsidTr="00014E72">
        <w:tc>
          <w:tcPr>
            <w:tcW w:w="2161" w:type="dxa"/>
          </w:tcPr>
          <w:p w14:paraId="6E7C2E34" w14:textId="77777777" w:rsidR="005965D9" w:rsidRPr="00A61811" w:rsidRDefault="005965D9" w:rsidP="00014E72">
            <w:pPr>
              <w:spacing w:after="160" w:line="259" w:lineRule="auto"/>
              <w:rPr>
                <w:lang w:val="en-US"/>
              </w:rPr>
            </w:pPr>
            <w:r w:rsidRPr="00A61811">
              <w:rPr>
                <w:lang w:val="en-US"/>
              </w:rPr>
              <w:t xml:space="preserve">Focus </w:t>
            </w:r>
          </w:p>
        </w:tc>
        <w:tc>
          <w:tcPr>
            <w:tcW w:w="8329" w:type="dxa"/>
          </w:tcPr>
          <w:p w14:paraId="2D058464" w14:textId="126E595B" w:rsidR="005965D9" w:rsidRPr="00A61811" w:rsidRDefault="005965D9" w:rsidP="00014E72">
            <w:pPr>
              <w:spacing w:after="160" w:line="259" w:lineRule="auto"/>
              <w:rPr>
                <w:lang w:val="en-US"/>
              </w:rPr>
            </w:pPr>
            <w:r w:rsidRPr="00A61811">
              <w:rPr>
                <w:lang w:val="en-US"/>
              </w:rPr>
              <w:t>Review of ASSC</w:t>
            </w:r>
            <w:r w:rsidR="00A61811" w:rsidRPr="00A61811">
              <w:rPr>
                <w:lang w:val="en-US"/>
              </w:rPr>
              <w:t>’s Cuan funded DSGBV</w:t>
            </w:r>
            <w:r w:rsidRPr="00A61811">
              <w:rPr>
                <w:lang w:val="en-US"/>
              </w:rPr>
              <w:t xml:space="preserve"> service provision</w:t>
            </w:r>
            <w:r w:rsidR="00A61811" w:rsidRPr="00A61811">
              <w:rPr>
                <w:lang w:val="en-US"/>
              </w:rPr>
              <w:t xml:space="preserve"> and process.</w:t>
            </w:r>
          </w:p>
        </w:tc>
      </w:tr>
      <w:tr w:rsidR="00A61811" w:rsidRPr="00A61811" w14:paraId="2EB4AFCE" w14:textId="77777777" w:rsidTr="00014E72">
        <w:tc>
          <w:tcPr>
            <w:tcW w:w="2161" w:type="dxa"/>
          </w:tcPr>
          <w:p w14:paraId="7C7AB3C6" w14:textId="77777777" w:rsidR="005965D9" w:rsidRPr="00A61811" w:rsidRDefault="005965D9" w:rsidP="00014E72">
            <w:pPr>
              <w:spacing w:after="160" w:line="259" w:lineRule="auto"/>
              <w:rPr>
                <w:lang w:val="en-US"/>
              </w:rPr>
            </w:pPr>
            <w:r w:rsidRPr="00A61811">
              <w:rPr>
                <w:lang w:val="en-US"/>
              </w:rPr>
              <w:t xml:space="preserve">Methodology </w:t>
            </w:r>
          </w:p>
        </w:tc>
        <w:tc>
          <w:tcPr>
            <w:tcW w:w="8329" w:type="dxa"/>
          </w:tcPr>
          <w:p w14:paraId="0A4FB3E3" w14:textId="3FE1B229" w:rsidR="005965D9" w:rsidRPr="00A61811" w:rsidRDefault="005965D9" w:rsidP="00014E72">
            <w:pPr>
              <w:spacing w:after="160" w:line="259" w:lineRule="auto"/>
              <w:rPr>
                <w:lang w:val="en-US"/>
              </w:rPr>
            </w:pPr>
            <w:r w:rsidRPr="00A61811">
              <w:rPr>
                <w:lang w:val="en-US"/>
              </w:rPr>
              <w:t>Desk based research/analysis and stakeholder (</w:t>
            </w:r>
            <w:r w:rsidR="00A61811" w:rsidRPr="00A61811">
              <w:rPr>
                <w:lang w:val="en-US"/>
              </w:rPr>
              <w:t>non-client based</w:t>
            </w:r>
            <w:r w:rsidRPr="00A61811">
              <w:rPr>
                <w:lang w:val="en-US"/>
              </w:rPr>
              <w:t xml:space="preserve">) engagement  </w:t>
            </w:r>
          </w:p>
        </w:tc>
      </w:tr>
      <w:tr w:rsidR="00A61811" w:rsidRPr="00A61811" w14:paraId="074CF55A" w14:textId="77777777" w:rsidTr="00014E72">
        <w:tc>
          <w:tcPr>
            <w:tcW w:w="2161" w:type="dxa"/>
          </w:tcPr>
          <w:p w14:paraId="64C94F58" w14:textId="77777777" w:rsidR="005965D9" w:rsidRPr="00A61811" w:rsidRDefault="005965D9" w:rsidP="00014E72">
            <w:pPr>
              <w:spacing w:after="160" w:line="259" w:lineRule="auto"/>
              <w:rPr>
                <w:lang w:val="en-US"/>
              </w:rPr>
            </w:pPr>
            <w:r w:rsidRPr="00A61811">
              <w:rPr>
                <w:lang w:val="en-US"/>
              </w:rPr>
              <w:t xml:space="preserve">Engagement </w:t>
            </w:r>
          </w:p>
        </w:tc>
        <w:tc>
          <w:tcPr>
            <w:tcW w:w="8329" w:type="dxa"/>
          </w:tcPr>
          <w:p w14:paraId="19F5D72F" w14:textId="77777777" w:rsidR="005965D9" w:rsidRPr="00A61811" w:rsidRDefault="005965D9" w:rsidP="00014E72">
            <w:pPr>
              <w:spacing w:after="160" w:line="259" w:lineRule="auto"/>
              <w:rPr>
                <w:lang w:val="en-US"/>
              </w:rPr>
            </w:pPr>
            <w:r w:rsidRPr="00A61811">
              <w:rPr>
                <w:lang w:val="en-US"/>
              </w:rPr>
              <w:t xml:space="preserve">Neutral and Independent </w:t>
            </w:r>
          </w:p>
        </w:tc>
      </w:tr>
      <w:tr w:rsidR="00A61811" w:rsidRPr="00A61811" w14:paraId="3772DE95" w14:textId="77777777" w:rsidTr="00014E72">
        <w:tc>
          <w:tcPr>
            <w:tcW w:w="2161" w:type="dxa"/>
          </w:tcPr>
          <w:p w14:paraId="2E6D37EA" w14:textId="77777777" w:rsidR="005965D9" w:rsidRPr="00A61811" w:rsidRDefault="005965D9" w:rsidP="00014E72">
            <w:pPr>
              <w:spacing w:after="160" w:line="259" w:lineRule="auto"/>
              <w:rPr>
                <w:lang w:val="en-US"/>
              </w:rPr>
            </w:pPr>
            <w:r w:rsidRPr="00A61811">
              <w:rPr>
                <w:lang w:val="en-US"/>
              </w:rPr>
              <w:t xml:space="preserve">Outputs </w:t>
            </w:r>
          </w:p>
        </w:tc>
        <w:tc>
          <w:tcPr>
            <w:tcW w:w="8329" w:type="dxa"/>
          </w:tcPr>
          <w:p w14:paraId="2F06EB05" w14:textId="227C209F" w:rsidR="005965D9" w:rsidRPr="00A61811" w:rsidRDefault="00E242BD" w:rsidP="00014E72">
            <w:pPr>
              <w:spacing w:after="160" w:line="259" w:lineRule="auto"/>
              <w:rPr>
                <w:lang w:val="en-US"/>
              </w:rPr>
            </w:pPr>
            <w:r w:rsidRPr="00E242BD">
              <w:rPr>
                <w:lang w:val="en-US"/>
              </w:rPr>
              <w:t>Review including an i</w:t>
            </w:r>
            <w:r w:rsidR="005965D9" w:rsidRPr="00E242BD">
              <w:rPr>
                <w:lang w:val="en-US"/>
              </w:rPr>
              <w:t xml:space="preserve">ndependent </w:t>
            </w:r>
            <w:r w:rsidR="005965D9" w:rsidRPr="00A61811">
              <w:rPr>
                <w:lang w:val="en-US"/>
              </w:rPr>
              <w:t>review including recommendations</w:t>
            </w:r>
            <w:r w:rsidR="0071308A">
              <w:rPr>
                <w:lang w:val="en-US"/>
              </w:rPr>
              <w:t xml:space="preserve"> as per objectives 1 – 5.</w:t>
            </w:r>
          </w:p>
        </w:tc>
      </w:tr>
      <w:tr w:rsidR="00A61811" w:rsidRPr="00A61811" w14:paraId="146A5052" w14:textId="77777777" w:rsidTr="00014E72">
        <w:tc>
          <w:tcPr>
            <w:tcW w:w="2161" w:type="dxa"/>
          </w:tcPr>
          <w:p w14:paraId="4CD1C3B5" w14:textId="77777777" w:rsidR="005965D9" w:rsidRPr="00A61811" w:rsidRDefault="005965D9" w:rsidP="00014E72">
            <w:pPr>
              <w:spacing w:after="160" w:line="259" w:lineRule="auto"/>
              <w:rPr>
                <w:lang w:val="en-US"/>
              </w:rPr>
            </w:pPr>
            <w:r w:rsidRPr="00A61811">
              <w:rPr>
                <w:lang w:val="en-US"/>
              </w:rPr>
              <w:t xml:space="preserve">Timescale </w:t>
            </w:r>
          </w:p>
        </w:tc>
        <w:tc>
          <w:tcPr>
            <w:tcW w:w="8329" w:type="dxa"/>
          </w:tcPr>
          <w:p w14:paraId="264DDED5" w14:textId="77777777" w:rsidR="005965D9" w:rsidRPr="00A61811" w:rsidRDefault="005965D9" w:rsidP="00014E72">
            <w:pPr>
              <w:spacing w:after="160" w:line="259" w:lineRule="auto"/>
              <w:rPr>
                <w:lang w:val="en-US"/>
              </w:rPr>
            </w:pPr>
            <w:r w:rsidRPr="00A61811">
              <w:rPr>
                <w:lang w:val="en-US"/>
              </w:rPr>
              <w:t xml:space="preserve">3-6 months from onboarding the successful applicant to issuing the final report </w:t>
            </w:r>
          </w:p>
        </w:tc>
      </w:tr>
    </w:tbl>
    <w:p w14:paraId="4D982371" w14:textId="77777777" w:rsidR="005965D9" w:rsidRPr="00A61811" w:rsidRDefault="005965D9" w:rsidP="005965D9">
      <w:pPr>
        <w:rPr>
          <w:lang w:val="en-US"/>
        </w:rPr>
      </w:pPr>
    </w:p>
    <w:p w14:paraId="60949518" w14:textId="77777777" w:rsidR="005965D9" w:rsidRPr="00A61811" w:rsidRDefault="005965D9" w:rsidP="00C82CF0">
      <w:pPr>
        <w:pStyle w:val="Heading3"/>
        <w:rPr>
          <w:lang w:val="en-US"/>
        </w:rPr>
      </w:pPr>
      <w:r w:rsidRPr="00A61811">
        <w:rPr>
          <w:lang w:val="en-US"/>
        </w:rPr>
        <w:t xml:space="preserve">Output </w:t>
      </w:r>
    </w:p>
    <w:p w14:paraId="3F289AE7" w14:textId="77777777" w:rsidR="005965D9" w:rsidRPr="00A61811" w:rsidRDefault="005965D9" w:rsidP="005965D9">
      <w:pPr>
        <w:rPr>
          <w:lang w:val="en-US"/>
        </w:rPr>
      </w:pPr>
      <w:r w:rsidRPr="00A61811">
        <w:rPr>
          <w:lang w:val="en-US"/>
        </w:rPr>
        <w:t xml:space="preserve">A detailed final report that can stand up to scrutiny in line with the above aims and objectives. This must be </w:t>
      </w:r>
      <w:proofErr w:type="spellStart"/>
      <w:r w:rsidRPr="00A61811">
        <w:rPr>
          <w:lang w:val="en-US"/>
        </w:rPr>
        <w:t>finalised</w:t>
      </w:r>
      <w:proofErr w:type="spellEnd"/>
      <w:r w:rsidRPr="00A61811">
        <w:rPr>
          <w:lang w:val="en-US"/>
        </w:rPr>
        <w:t xml:space="preserve"> within the timeline, which is detailed below, and recommendations must be included.   </w:t>
      </w:r>
    </w:p>
    <w:p w14:paraId="13CB59F3" w14:textId="0D2D98A4" w:rsidR="005965D9" w:rsidRPr="00A61811" w:rsidRDefault="00A61811" w:rsidP="005965D9">
      <w:pPr>
        <w:rPr>
          <w:lang w:val="en-US"/>
        </w:rPr>
      </w:pPr>
      <w:r w:rsidRPr="00A61811">
        <w:rPr>
          <w:lang w:val="en-US"/>
        </w:rPr>
        <w:t xml:space="preserve">The report may identify opportunities for further research, review or development initiatives. Where such recommendations arise, Cuan will consider allocating resources to support these efforts in the future, aligning with Cuan’s commitment to service development. </w:t>
      </w:r>
    </w:p>
    <w:p w14:paraId="1B25C33A" w14:textId="77777777" w:rsidR="005965D9" w:rsidRPr="00A61811" w:rsidRDefault="005965D9" w:rsidP="005965D9"/>
    <w:p w14:paraId="7B46846F" w14:textId="77777777" w:rsidR="005965D9" w:rsidRPr="00A61811" w:rsidRDefault="005965D9" w:rsidP="00C82CF0">
      <w:pPr>
        <w:pStyle w:val="Heading3"/>
        <w:rPr>
          <w:lang w:val="en-US"/>
        </w:rPr>
      </w:pPr>
      <w:r w:rsidRPr="00A61811">
        <w:rPr>
          <w:lang w:val="en-US"/>
        </w:rPr>
        <w:t>Ownership</w:t>
      </w:r>
    </w:p>
    <w:p w14:paraId="3C110185" w14:textId="6620CC28" w:rsidR="004A4BFC" w:rsidRPr="00A61811" w:rsidRDefault="005965D9" w:rsidP="0033455E">
      <w:pPr>
        <w:rPr>
          <w:lang w:val="en-US"/>
        </w:rPr>
      </w:pPr>
      <w:r w:rsidRPr="00A61811">
        <w:rPr>
          <w:lang w:val="en-US"/>
        </w:rPr>
        <w:t xml:space="preserve">The final report will </w:t>
      </w:r>
      <w:proofErr w:type="gramStart"/>
      <w:r w:rsidRPr="00A61811">
        <w:rPr>
          <w:lang w:val="en-US"/>
        </w:rPr>
        <w:t>be</w:t>
      </w:r>
      <w:proofErr w:type="gramEnd"/>
      <w:r w:rsidRPr="00A61811">
        <w:rPr>
          <w:lang w:val="en-US"/>
        </w:rPr>
        <w:t xml:space="preserve"> the property of </w:t>
      </w:r>
      <w:proofErr w:type="gramStart"/>
      <w:r w:rsidRPr="00A61811">
        <w:rPr>
          <w:lang w:val="en-US"/>
        </w:rPr>
        <w:t>A.S</w:t>
      </w:r>
      <w:proofErr w:type="gramEnd"/>
      <w:r w:rsidRPr="00A61811">
        <w:rPr>
          <w:lang w:val="en-US"/>
        </w:rPr>
        <w:t>.S.C. which can be referenced to inform service development.</w:t>
      </w:r>
    </w:p>
    <w:p w14:paraId="59AFD78B" w14:textId="77777777" w:rsidR="005965D9" w:rsidRPr="00A61811" w:rsidRDefault="005965D9" w:rsidP="0033455E">
      <w:pPr>
        <w:rPr>
          <w:lang w:val="en-US"/>
        </w:rPr>
      </w:pPr>
    </w:p>
    <w:p w14:paraId="7BC3039B" w14:textId="77777777" w:rsidR="0033455E" w:rsidRPr="00A61811" w:rsidRDefault="0033455E" w:rsidP="00C82CF0">
      <w:pPr>
        <w:pStyle w:val="Heading3"/>
        <w:rPr>
          <w:lang w:val="en-US"/>
        </w:rPr>
      </w:pPr>
      <w:r w:rsidRPr="00A61811">
        <w:rPr>
          <w:lang w:val="en-US"/>
        </w:rPr>
        <w:t xml:space="preserve">Timeframe </w:t>
      </w:r>
    </w:p>
    <w:tbl>
      <w:tblPr>
        <w:tblStyle w:val="TableGrid"/>
        <w:tblW w:w="0" w:type="auto"/>
        <w:tblInd w:w="-5" w:type="dxa"/>
        <w:tblLook w:val="04A0" w:firstRow="1" w:lastRow="0" w:firstColumn="1" w:lastColumn="0" w:noHBand="0" w:noVBand="1"/>
      </w:tblPr>
      <w:tblGrid>
        <w:gridCol w:w="5416"/>
        <w:gridCol w:w="5045"/>
      </w:tblGrid>
      <w:tr w:rsidR="0071308A" w:rsidRPr="0033455E" w14:paraId="3E0E5201" w14:textId="77777777" w:rsidTr="00014E72">
        <w:tc>
          <w:tcPr>
            <w:tcW w:w="5416" w:type="dxa"/>
          </w:tcPr>
          <w:p w14:paraId="3ED3E792" w14:textId="77777777" w:rsidR="0071308A" w:rsidRPr="0033455E" w:rsidRDefault="0071308A" w:rsidP="00014E72">
            <w:pPr>
              <w:rPr>
                <w:b/>
                <w:bCs/>
                <w:lang w:val="en-US"/>
              </w:rPr>
            </w:pPr>
            <w:r w:rsidRPr="0033455E">
              <w:rPr>
                <w:b/>
                <w:bCs/>
                <w:lang w:val="en-US"/>
              </w:rPr>
              <w:t xml:space="preserve">Activity  </w:t>
            </w:r>
          </w:p>
        </w:tc>
        <w:tc>
          <w:tcPr>
            <w:tcW w:w="5045" w:type="dxa"/>
          </w:tcPr>
          <w:p w14:paraId="6267AABF" w14:textId="77777777" w:rsidR="0071308A" w:rsidRPr="0033455E" w:rsidRDefault="0071308A" w:rsidP="00014E72">
            <w:pPr>
              <w:rPr>
                <w:b/>
                <w:bCs/>
                <w:lang w:val="en-US"/>
              </w:rPr>
            </w:pPr>
            <w:r w:rsidRPr="0033455E">
              <w:rPr>
                <w:b/>
                <w:bCs/>
                <w:lang w:val="en-US"/>
              </w:rPr>
              <w:t xml:space="preserve">Deadline </w:t>
            </w:r>
          </w:p>
        </w:tc>
      </w:tr>
      <w:tr w:rsidR="0071308A" w:rsidRPr="0071308A" w14:paraId="1E26F160" w14:textId="77777777" w:rsidTr="00014E72">
        <w:tc>
          <w:tcPr>
            <w:tcW w:w="5416" w:type="dxa"/>
          </w:tcPr>
          <w:p w14:paraId="466CCA6D" w14:textId="77777777" w:rsidR="0071308A" w:rsidRPr="0071308A" w:rsidRDefault="0071308A" w:rsidP="00014E72">
            <w:pPr>
              <w:rPr>
                <w:lang w:val="en-US"/>
              </w:rPr>
            </w:pPr>
            <w:r w:rsidRPr="0071308A">
              <w:rPr>
                <w:lang w:val="en-US"/>
              </w:rPr>
              <w:t xml:space="preserve">Tender issue </w:t>
            </w:r>
          </w:p>
        </w:tc>
        <w:tc>
          <w:tcPr>
            <w:tcW w:w="5045" w:type="dxa"/>
          </w:tcPr>
          <w:p w14:paraId="569E9E2C" w14:textId="77777777" w:rsidR="0071308A" w:rsidRPr="0071308A" w:rsidRDefault="0071308A" w:rsidP="00014E72">
            <w:pPr>
              <w:rPr>
                <w:lang w:val="en-US"/>
              </w:rPr>
            </w:pPr>
            <w:r w:rsidRPr="0071308A">
              <w:rPr>
                <w:lang w:val="en-US"/>
              </w:rPr>
              <w:t xml:space="preserve">Starting end of May </w:t>
            </w:r>
          </w:p>
        </w:tc>
      </w:tr>
      <w:tr w:rsidR="0071308A" w:rsidRPr="0071308A" w14:paraId="711C1FDD" w14:textId="77777777" w:rsidTr="00014E72">
        <w:tc>
          <w:tcPr>
            <w:tcW w:w="5416" w:type="dxa"/>
          </w:tcPr>
          <w:p w14:paraId="5706BF39" w14:textId="77777777" w:rsidR="0071308A" w:rsidRPr="0071308A" w:rsidRDefault="0071308A" w:rsidP="00014E72">
            <w:pPr>
              <w:rPr>
                <w:lang w:val="en-US"/>
              </w:rPr>
            </w:pPr>
            <w:r w:rsidRPr="0071308A">
              <w:rPr>
                <w:lang w:val="en-US"/>
              </w:rPr>
              <w:t xml:space="preserve">Deadline for receipt of proposals </w:t>
            </w:r>
          </w:p>
        </w:tc>
        <w:tc>
          <w:tcPr>
            <w:tcW w:w="5045" w:type="dxa"/>
          </w:tcPr>
          <w:p w14:paraId="38E2D542" w14:textId="77777777" w:rsidR="0071308A" w:rsidRPr="0071308A" w:rsidRDefault="0071308A" w:rsidP="00014E72">
            <w:pPr>
              <w:rPr>
                <w:lang w:val="en-US"/>
              </w:rPr>
            </w:pPr>
            <w:r w:rsidRPr="0071308A">
              <w:rPr>
                <w:lang w:val="en-US"/>
              </w:rPr>
              <w:t>7</w:t>
            </w:r>
            <w:r w:rsidRPr="0071308A">
              <w:rPr>
                <w:vertAlign w:val="superscript"/>
                <w:lang w:val="en-US"/>
              </w:rPr>
              <w:t>th</w:t>
            </w:r>
            <w:r w:rsidRPr="0071308A">
              <w:rPr>
                <w:lang w:val="en-US"/>
              </w:rPr>
              <w:t xml:space="preserve"> July 2025</w:t>
            </w:r>
          </w:p>
        </w:tc>
      </w:tr>
      <w:tr w:rsidR="0071308A" w:rsidRPr="0071308A" w14:paraId="643C8085" w14:textId="77777777" w:rsidTr="00014E72">
        <w:tc>
          <w:tcPr>
            <w:tcW w:w="5416" w:type="dxa"/>
          </w:tcPr>
          <w:p w14:paraId="5EFF47C9" w14:textId="77777777" w:rsidR="0071308A" w:rsidRPr="0071308A" w:rsidRDefault="0071308A" w:rsidP="00014E72">
            <w:pPr>
              <w:rPr>
                <w:lang w:val="en-US"/>
              </w:rPr>
            </w:pPr>
            <w:r w:rsidRPr="0071308A">
              <w:rPr>
                <w:lang w:val="en-US"/>
              </w:rPr>
              <w:t xml:space="preserve">Contract start date </w:t>
            </w:r>
          </w:p>
        </w:tc>
        <w:tc>
          <w:tcPr>
            <w:tcW w:w="5045" w:type="dxa"/>
          </w:tcPr>
          <w:p w14:paraId="0271D672" w14:textId="5D2ED7DA" w:rsidR="0071308A" w:rsidRPr="0071308A" w:rsidRDefault="00707BC3" w:rsidP="00014E72">
            <w:pPr>
              <w:rPr>
                <w:lang w:val="en-US"/>
              </w:rPr>
            </w:pPr>
            <w:r>
              <w:rPr>
                <w:lang w:val="en-US"/>
              </w:rPr>
              <w:t xml:space="preserve">28th </w:t>
            </w:r>
            <w:r w:rsidR="0071308A" w:rsidRPr="0071308A">
              <w:rPr>
                <w:lang w:val="en-US"/>
              </w:rPr>
              <w:t>July 2025</w:t>
            </w:r>
          </w:p>
        </w:tc>
      </w:tr>
      <w:tr w:rsidR="0071308A" w:rsidRPr="0071308A" w14:paraId="5DC5D51D" w14:textId="77777777" w:rsidTr="00014E72">
        <w:tc>
          <w:tcPr>
            <w:tcW w:w="5416" w:type="dxa"/>
          </w:tcPr>
          <w:p w14:paraId="001B5580" w14:textId="77777777" w:rsidR="0071308A" w:rsidRPr="0071308A" w:rsidRDefault="0071308A" w:rsidP="00014E72">
            <w:pPr>
              <w:rPr>
                <w:lang w:val="en-US"/>
              </w:rPr>
            </w:pPr>
            <w:r w:rsidRPr="0071308A">
              <w:rPr>
                <w:lang w:val="en-US"/>
              </w:rPr>
              <w:lastRenderedPageBreak/>
              <w:t xml:space="preserve">Draft report completed </w:t>
            </w:r>
          </w:p>
        </w:tc>
        <w:tc>
          <w:tcPr>
            <w:tcW w:w="5045" w:type="dxa"/>
          </w:tcPr>
          <w:p w14:paraId="33ABB830" w14:textId="77777777" w:rsidR="0071308A" w:rsidRPr="0071308A" w:rsidRDefault="0071308A" w:rsidP="00014E72">
            <w:pPr>
              <w:rPr>
                <w:lang w:val="en-US"/>
              </w:rPr>
            </w:pPr>
            <w:r w:rsidRPr="0071308A">
              <w:rPr>
                <w:lang w:val="en-US"/>
              </w:rPr>
              <w:t>29</w:t>
            </w:r>
            <w:r w:rsidRPr="0071308A">
              <w:rPr>
                <w:vertAlign w:val="superscript"/>
                <w:lang w:val="en-US"/>
              </w:rPr>
              <w:t>th</w:t>
            </w:r>
            <w:r w:rsidRPr="0071308A">
              <w:rPr>
                <w:lang w:val="en-US"/>
              </w:rPr>
              <w:t xml:space="preserve"> September 2025</w:t>
            </w:r>
          </w:p>
        </w:tc>
      </w:tr>
      <w:tr w:rsidR="0071308A" w:rsidRPr="0071308A" w14:paraId="319758AC" w14:textId="77777777" w:rsidTr="00014E72">
        <w:tc>
          <w:tcPr>
            <w:tcW w:w="5416" w:type="dxa"/>
          </w:tcPr>
          <w:p w14:paraId="098DB34C" w14:textId="77777777" w:rsidR="0071308A" w:rsidRPr="0071308A" w:rsidRDefault="0071308A" w:rsidP="00014E72">
            <w:pPr>
              <w:rPr>
                <w:lang w:val="en-US"/>
              </w:rPr>
            </w:pPr>
            <w:r w:rsidRPr="0071308A">
              <w:rPr>
                <w:lang w:val="en-US"/>
              </w:rPr>
              <w:t xml:space="preserve">Final report </w:t>
            </w:r>
          </w:p>
        </w:tc>
        <w:tc>
          <w:tcPr>
            <w:tcW w:w="5045" w:type="dxa"/>
          </w:tcPr>
          <w:p w14:paraId="1C242475" w14:textId="08524262" w:rsidR="0071308A" w:rsidRPr="0071308A" w:rsidRDefault="0071308A" w:rsidP="00014E72">
            <w:pPr>
              <w:rPr>
                <w:lang w:val="en-US"/>
              </w:rPr>
            </w:pPr>
            <w:r w:rsidRPr="0071308A">
              <w:rPr>
                <w:lang w:val="en-US"/>
              </w:rPr>
              <w:t>13</w:t>
            </w:r>
            <w:r w:rsidRPr="0071308A">
              <w:rPr>
                <w:vertAlign w:val="superscript"/>
                <w:lang w:val="en-US"/>
              </w:rPr>
              <w:t>th</w:t>
            </w:r>
            <w:r w:rsidRPr="0071308A">
              <w:rPr>
                <w:lang w:val="en-US"/>
              </w:rPr>
              <w:t xml:space="preserve"> October </w:t>
            </w:r>
            <w:r w:rsidR="00F46502">
              <w:rPr>
                <w:lang w:val="en-US"/>
              </w:rPr>
              <w:t>2025</w:t>
            </w:r>
          </w:p>
        </w:tc>
      </w:tr>
    </w:tbl>
    <w:p w14:paraId="0D25606D" w14:textId="5EF867B2" w:rsidR="0033455E" w:rsidRPr="0071308A" w:rsidRDefault="0033455E" w:rsidP="0033455E">
      <w:pPr>
        <w:numPr>
          <w:ilvl w:val="1"/>
          <w:numId w:val="1"/>
        </w:numPr>
        <w:rPr>
          <w:b/>
          <w:bCs/>
          <w:lang w:val="en-US"/>
        </w:rPr>
      </w:pPr>
      <w:r w:rsidRPr="0071308A">
        <w:rPr>
          <w:b/>
          <w:bCs/>
          <w:lang w:val="en-US"/>
        </w:rPr>
        <w:t xml:space="preserve">Submission </w:t>
      </w:r>
    </w:p>
    <w:p w14:paraId="4F861FED" w14:textId="199E5B9D" w:rsidR="0033455E" w:rsidRPr="00A61811" w:rsidRDefault="0033455E" w:rsidP="0033455E">
      <w:pPr>
        <w:rPr>
          <w:lang w:val="en-US"/>
        </w:rPr>
      </w:pPr>
      <w:r w:rsidRPr="00A61811">
        <w:rPr>
          <w:lang w:val="en-US"/>
        </w:rPr>
        <w:t xml:space="preserve">Please forward an application before </w:t>
      </w:r>
      <w:r w:rsidR="00E20F0D">
        <w:rPr>
          <w:lang w:val="en-US"/>
        </w:rPr>
        <w:t>7</w:t>
      </w:r>
      <w:r w:rsidR="00E20F0D" w:rsidRPr="00E20F0D">
        <w:rPr>
          <w:vertAlign w:val="superscript"/>
          <w:lang w:val="en-US"/>
        </w:rPr>
        <w:t>th</w:t>
      </w:r>
      <w:r w:rsidR="00E20F0D">
        <w:rPr>
          <w:lang w:val="en-US"/>
        </w:rPr>
        <w:t xml:space="preserve"> July </w:t>
      </w:r>
      <w:r w:rsidR="0086596B">
        <w:rPr>
          <w:lang w:val="en-US"/>
        </w:rPr>
        <w:t>@ 4pm, via</w:t>
      </w:r>
      <w:r w:rsidRPr="00A61811">
        <w:rPr>
          <w:lang w:val="en-US"/>
        </w:rPr>
        <w:t xml:space="preserve"> email</w:t>
      </w:r>
      <w:r w:rsidR="00E20F0D">
        <w:rPr>
          <w:lang w:val="en-US"/>
        </w:rPr>
        <w:t xml:space="preserve"> to </w:t>
      </w:r>
      <w:r w:rsidRPr="00A61811">
        <w:rPr>
          <w:lang w:val="en-US"/>
        </w:rPr>
        <w:t xml:space="preserve"> </w:t>
      </w:r>
      <w:hyperlink r:id="rId12" w:history="1">
        <w:r w:rsidR="00D735BD" w:rsidRPr="0010390C">
          <w:rPr>
            <w:rStyle w:val="Hyperlink"/>
            <w:lang w:val="en-US"/>
          </w:rPr>
          <w:t>administration@assc.ie</w:t>
        </w:r>
      </w:hyperlink>
      <w:r w:rsidR="00E20F0D">
        <w:rPr>
          <w:lang w:val="en-US"/>
        </w:rPr>
        <w:t xml:space="preserve"> </w:t>
      </w:r>
    </w:p>
    <w:p w14:paraId="3FB66961" w14:textId="60CC0E25" w:rsidR="0033455E" w:rsidRPr="00A61811" w:rsidRDefault="0033455E" w:rsidP="0033455E">
      <w:pPr>
        <w:rPr>
          <w:u w:val="single"/>
          <w:lang w:val="en-US"/>
        </w:rPr>
      </w:pPr>
      <w:r w:rsidRPr="00A61811">
        <w:rPr>
          <w:u w:val="single"/>
          <w:lang w:val="en-US"/>
        </w:rPr>
        <w:t xml:space="preserve">Tender submissions should include </w:t>
      </w:r>
    </w:p>
    <w:p w14:paraId="53F571BF" w14:textId="77777777" w:rsidR="0033455E" w:rsidRPr="00A61811" w:rsidRDefault="0033455E" w:rsidP="0033455E">
      <w:pPr>
        <w:numPr>
          <w:ilvl w:val="0"/>
          <w:numId w:val="3"/>
        </w:numPr>
        <w:rPr>
          <w:lang w:val="en-US"/>
        </w:rPr>
      </w:pPr>
      <w:r w:rsidRPr="00A61811">
        <w:rPr>
          <w:lang w:val="en-US"/>
        </w:rPr>
        <w:t>CV</w:t>
      </w:r>
    </w:p>
    <w:p w14:paraId="0A199F7B" w14:textId="77777777" w:rsidR="0033455E" w:rsidRPr="00A61811" w:rsidRDefault="0033455E" w:rsidP="0033455E">
      <w:pPr>
        <w:numPr>
          <w:ilvl w:val="0"/>
          <w:numId w:val="3"/>
        </w:numPr>
        <w:rPr>
          <w:lang w:val="en-US"/>
        </w:rPr>
      </w:pPr>
      <w:r w:rsidRPr="00A61811">
        <w:rPr>
          <w:lang w:val="en-US"/>
        </w:rPr>
        <w:t xml:space="preserve">Cover letter </w:t>
      </w:r>
    </w:p>
    <w:p w14:paraId="1407E52A" w14:textId="4FD7231D" w:rsidR="0033455E" w:rsidRPr="00A61811" w:rsidRDefault="0033455E" w:rsidP="0033455E">
      <w:pPr>
        <w:numPr>
          <w:ilvl w:val="0"/>
          <w:numId w:val="3"/>
        </w:numPr>
        <w:rPr>
          <w:lang w:val="en-US"/>
        </w:rPr>
      </w:pPr>
      <w:r w:rsidRPr="00A61811">
        <w:rPr>
          <w:lang w:val="en-US"/>
        </w:rPr>
        <w:t xml:space="preserve">Proposal for independent </w:t>
      </w:r>
      <w:r w:rsidR="00A61811">
        <w:rPr>
          <w:lang w:val="en-US"/>
        </w:rPr>
        <w:t>review</w:t>
      </w:r>
      <w:r w:rsidRPr="00A61811">
        <w:rPr>
          <w:lang w:val="en-US"/>
        </w:rPr>
        <w:t xml:space="preserve">, including details per the assessment criteria below. </w:t>
      </w:r>
    </w:p>
    <w:p w14:paraId="0DEF2792" w14:textId="77777777" w:rsidR="0033455E" w:rsidRPr="00A61811" w:rsidRDefault="0033455E" w:rsidP="0033455E">
      <w:pPr>
        <w:numPr>
          <w:ilvl w:val="0"/>
          <w:numId w:val="3"/>
        </w:numPr>
        <w:rPr>
          <w:lang w:val="en-US"/>
        </w:rPr>
      </w:pPr>
      <w:r w:rsidRPr="00A61811">
        <w:rPr>
          <w:lang w:val="en-US"/>
        </w:rPr>
        <w:t xml:space="preserve">Disclosure of any conflict of interest </w:t>
      </w:r>
    </w:p>
    <w:p w14:paraId="2ACDBF11" w14:textId="77777777" w:rsidR="0033455E" w:rsidRPr="0033455E" w:rsidRDefault="0033455E" w:rsidP="0033455E">
      <w:pPr>
        <w:numPr>
          <w:ilvl w:val="0"/>
          <w:numId w:val="3"/>
        </w:numPr>
        <w:rPr>
          <w:lang w:val="en-US"/>
        </w:rPr>
      </w:pPr>
      <w:r w:rsidRPr="00A61811">
        <w:rPr>
          <w:lang w:val="en-US"/>
        </w:rPr>
        <w:t>Two Referees (please</w:t>
      </w:r>
      <w:r w:rsidRPr="0033455E">
        <w:rPr>
          <w:lang w:val="en-US"/>
        </w:rPr>
        <w:t xml:space="preserve"> include contact information) </w:t>
      </w:r>
    </w:p>
    <w:p w14:paraId="3227BD67" w14:textId="77777777" w:rsidR="0033455E" w:rsidRPr="0033455E" w:rsidRDefault="0033455E" w:rsidP="0033455E">
      <w:pPr>
        <w:rPr>
          <w:lang w:val="en-US"/>
        </w:rPr>
      </w:pPr>
    </w:p>
    <w:p w14:paraId="3999E42C" w14:textId="77777777" w:rsidR="0033455E" w:rsidRPr="0033455E" w:rsidRDefault="0033455E" w:rsidP="0033455E">
      <w:pPr>
        <w:numPr>
          <w:ilvl w:val="1"/>
          <w:numId w:val="2"/>
        </w:numPr>
        <w:rPr>
          <w:b/>
          <w:bCs/>
          <w:lang w:val="en-US"/>
        </w:rPr>
      </w:pPr>
      <w:r w:rsidRPr="0033455E">
        <w:rPr>
          <w:b/>
          <w:bCs/>
          <w:lang w:val="en-US"/>
        </w:rPr>
        <w:t xml:space="preserve">Assessment of Tender </w:t>
      </w:r>
    </w:p>
    <w:p w14:paraId="5FD337F6" w14:textId="77777777" w:rsidR="0033455E" w:rsidRPr="0033455E" w:rsidRDefault="0033455E" w:rsidP="0033455E">
      <w:pPr>
        <w:rPr>
          <w:lang w:val="en-US"/>
        </w:rPr>
      </w:pPr>
      <w:r w:rsidRPr="0033455E">
        <w:rPr>
          <w:lang w:val="en-US"/>
        </w:rPr>
        <w:t xml:space="preserve">Please ensure your proposal provides information that allows assessment against the following criteria.  </w:t>
      </w:r>
    </w:p>
    <w:tbl>
      <w:tblPr>
        <w:tblStyle w:val="TableGrid"/>
        <w:tblW w:w="0" w:type="auto"/>
        <w:tblInd w:w="-5" w:type="dxa"/>
        <w:tblLook w:val="04A0" w:firstRow="1" w:lastRow="0" w:firstColumn="1" w:lastColumn="0" w:noHBand="0" w:noVBand="1"/>
      </w:tblPr>
      <w:tblGrid>
        <w:gridCol w:w="2268"/>
        <w:gridCol w:w="5812"/>
        <w:gridCol w:w="2268"/>
      </w:tblGrid>
      <w:tr w:rsidR="0033455E" w:rsidRPr="0033455E" w14:paraId="7E8C91B1" w14:textId="77777777" w:rsidTr="00350439">
        <w:tc>
          <w:tcPr>
            <w:tcW w:w="2268" w:type="dxa"/>
          </w:tcPr>
          <w:p w14:paraId="4516B940" w14:textId="77777777" w:rsidR="0033455E" w:rsidRPr="0033455E" w:rsidRDefault="0033455E" w:rsidP="0033455E">
            <w:pPr>
              <w:spacing w:after="160" w:line="259" w:lineRule="auto"/>
              <w:rPr>
                <w:b/>
                <w:bCs/>
                <w:lang w:val="en-US"/>
              </w:rPr>
            </w:pPr>
            <w:r w:rsidRPr="0033455E">
              <w:rPr>
                <w:b/>
                <w:bCs/>
                <w:lang w:val="en-US"/>
              </w:rPr>
              <w:t xml:space="preserve">Criteria  </w:t>
            </w:r>
          </w:p>
        </w:tc>
        <w:tc>
          <w:tcPr>
            <w:tcW w:w="5812" w:type="dxa"/>
          </w:tcPr>
          <w:p w14:paraId="13CDA0C6" w14:textId="77777777" w:rsidR="0033455E" w:rsidRPr="0033455E" w:rsidRDefault="0033455E" w:rsidP="0033455E">
            <w:pPr>
              <w:spacing w:after="160" w:line="259" w:lineRule="auto"/>
              <w:rPr>
                <w:b/>
                <w:bCs/>
                <w:lang w:val="en-US"/>
              </w:rPr>
            </w:pPr>
            <w:r w:rsidRPr="0033455E">
              <w:rPr>
                <w:b/>
                <w:bCs/>
                <w:lang w:val="en-US"/>
              </w:rPr>
              <w:t xml:space="preserve">Description </w:t>
            </w:r>
          </w:p>
        </w:tc>
        <w:tc>
          <w:tcPr>
            <w:tcW w:w="2268" w:type="dxa"/>
          </w:tcPr>
          <w:p w14:paraId="529D7B35" w14:textId="77777777" w:rsidR="0033455E" w:rsidRPr="0033455E" w:rsidRDefault="0033455E" w:rsidP="0033455E">
            <w:pPr>
              <w:spacing w:after="160" w:line="259" w:lineRule="auto"/>
              <w:rPr>
                <w:b/>
                <w:bCs/>
                <w:lang w:val="en-US"/>
              </w:rPr>
            </w:pPr>
            <w:r w:rsidRPr="0033455E">
              <w:rPr>
                <w:b/>
                <w:bCs/>
                <w:lang w:val="en-US"/>
              </w:rPr>
              <w:t xml:space="preserve">Marks Available  </w:t>
            </w:r>
          </w:p>
        </w:tc>
      </w:tr>
      <w:tr w:rsidR="0033455E" w:rsidRPr="0033455E" w14:paraId="4AC9AAD8" w14:textId="77777777" w:rsidTr="00350439">
        <w:tc>
          <w:tcPr>
            <w:tcW w:w="2268" w:type="dxa"/>
          </w:tcPr>
          <w:p w14:paraId="71BE33A6" w14:textId="77777777" w:rsidR="0033455E" w:rsidRPr="0033455E" w:rsidRDefault="0033455E" w:rsidP="0033455E">
            <w:pPr>
              <w:spacing w:after="160" w:line="259" w:lineRule="auto"/>
              <w:rPr>
                <w:lang w:val="en-US"/>
              </w:rPr>
            </w:pPr>
            <w:r w:rsidRPr="0033455E">
              <w:rPr>
                <w:lang w:val="en-US"/>
              </w:rPr>
              <w:t xml:space="preserve">Experience </w:t>
            </w:r>
          </w:p>
        </w:tc>
        <w:tc>
          <w:tcPr>
            <w:tcW w:w="5812" w:type="dxa"/>
          </w:tcPr>
          <w:p w14:paraId="28D06D5A" w14:textId="2CF162DE" w:rsidR="0033455E" w:rsidRPr="0033455E" w:rsidRDefault="0033455E" w:rsidP="0033455E">
            <w:pPr>
              <w:spacing w:after="160" w:line="259" w:lineRule="auto"/>
              <w:rPr>
                <w:lang w:val="en-US"/>
              </w:rPr>
            </w:pPr>
            <w:r w:rsidRPr="0033455E">
              <w:rPr>
                <w:lang w:val="en-US"/>
              </w:rPr>
              <w:t>Relevant experience designing and delivering independent</w:t>
            </w:r>
            <w:r w:rsidR="004E7020">
              <w:rPr>
                <w:lang w:val="en-US"/>
              </w:rPr>
              <w:t xml:space="preserve"> reviews</w:t>
            </w:r>
            <w:r w:rsidR="00A61811">
              <w:rPr>
                <w:lang w:val="en-US"/>
              </w:rPr>
              <w:t>.</w:t>
            </w:r>
            <w:r w:rsidRPr="0033455E">
              <w:rPr>
                <w:lang w:val="en-US"/>
              </w:rPr>
              <w:t xml:space="preserve"> </w:t>
            </w:r>
          </w:p>
          <w:p w14:paraId="5EFFEDE2" w14:textId="0A38E4FE" w:rsidR="0033455E" w:rsidRPr="0033455E" w:rsidRDefault="0033455E" w:rsidP="0033455E">
            <w:pPr>
              <w:spacing w:after="160" w:line="259" w:lineRule="auto"/>
              <w:rPr>
                <w:lang w:val="en-US"/>
              </w:rPr>
            </w:pPr>
            <w:r w:rsidRPr="0033455E">
              <w:rPr>
                <w:lang w:val="en-US"/>
              </w:rPr>
              <w:t>Relevant experience in the areas of the</w:t>
            </w:r>
            <w:r w:rsidR="004E7020">
              <w:rPr>
                <w:lang w:val="en-US"/>
              </w:rPr>
              <w:t xml:space="preserve"> </w:t>
            </w:r>
            <w:r w:rsidR="004E7020" w:rsidRPr="00BB7A24">
              <w:rPr>
                <w:color w:val="000000" w:themeColor="text1"/>
                <w:lang w:val="en-US"/>
              </w:rPr>
              <w:t>DSGBV Service provision and</w:t>
            </w:r>
            <w:r w:rsidRPr="00BB7A24">
              <w:rPr>
                <w:color w:val="000000" w:themeColor="text1"/>
                <w:lang w:val="en-US"/>
              </w:rPr>
              <w:t xml:space="preserve"> Criminal Justice System</w:t>
            </w:r>
            <w:r w:rsidR="004E7020" w:rsidRPr="00BB7A24">
              <w:rPr>
                <w:color w:val="000000" w:themeColor="text1"/>
                <w:lang w:val="en-US"/>
              </w:rPr>
              <w:t>.</w:t>
            </w:r>
          </w:p>
        </w:tc>
        <w:tc>
          <w:tcPr>
            <w:tcW w:w="2268" w:type="dxa"/>
          </w:tcPr>
          <w:p w14:paraId="1B55EF4A" w14:textId="77777777" w:rsidR="0033455E" w:rsidRPr="0033455E" w:rsidRDefault="0033455E" w:rsidP="0033455E">
            <w:pPr>
              <w:spacing w:after="160" w:line="259" w:lineRule="auto"/>
              <w:rPr>
                <w:lang w:val="en-US"/>
              </w:rPr>
            </w:pPr>
            <w:r w:rsidRPr="0033455E">
              <w:rPr>
                <w:lang w:val="en-US"/>
              </w:rPr>
              <w:t xml:space="preserve">30 </w:t>
            </w:r>
          </w:p>
        </w:tc>
      </w:tr>
      <w:tr w:rsidR="0033455E" w:rsidRPr="0033455E" w14:paraId="6FD53939" w14:textId="77777777" w:rsidTr="00350439">
        <w:tc>
          <w:tcPr>
            <w:tcW w:w="2268" w:type="dxa"/>
          </w:tcPr>
          <w:p w14:paraId="35AC0CD1" w14:textId="77777777" w:rsidR="0033455E" w:rsidRPr="0033455E" w:rsidRDefault="0033455E" w:rsidP="0033455E">
            <w:pPr>
              <w:spacing w:after="160" w:line="259" w:lineRule="auto"/>
              <w:rPr>
                <w:lang w:val="en-US"/>
              </w:rPr>
            </w:pPr>
            <w:r w:rsidRPr="0033455E">
              <w:rPr>
                <w:lang w:val="en-US"/>
              </w:rPr>
              <w:t xml:space="preserve">Project Plan </w:t>
            </w:r>
          </w:p>
        </w:tc>
        <w:tc>
          <w:tcPr>
            <w:tcW w:w="5812" w:type="dxa"/>
          </w:tcPr>
          <w:p w14:paraId="24747A6E" w14:textId="77777777" w:rsidR="0033455E" w:rsidRPr="0033455E" w:rsidRDefault="0033455E" w:rsidP="0033455E">
            <w:pPr>
              <w:spacing w:after="160" w:line="259" w:lineRule="auto"/>
              <w:rPr>
                <w:lang w:val="en-US"/>
              </w:rPr>
            </w:pPr>
            <w:r w:rsidRPr="0033455E">
              <w:rPr>
                <w:lang w:val="en-US"/>
              </w:rPr>
              <w:t xml:space="preserve">Outline of milestones and deadlines. Including client/stakeholder meetings for completing the review </w:t>
            </w:r>
          </w:p>
        </w:tc>
        <w:tc>
          <w:tcPr>
            <w:tcW w:w="2268" w:type="dxa"/>
          </w:tcPr>
          <w:p w14:paraId="238992E6" w14:textId="77777777" w:rsidR="0033455E" w:rsidRPr="0033455E" w:rsidRDefault="0033455E" w:rsidP="0033455E">
            <w:pPr>
              <w:spacing w:after="160" w:line="259" w:lineRule="auto"/>
              <w:rPr>
                <w:lang w:val="en-US"/>
              </w:rPr>
            </w:pPr>
            <w:r w:rsidRPr="0033455E">
              <w:rPr>
                <w:lang w:val="en-US"/>
              </w:rPr>
              <w:t xml:space="preserve">10 </w:t>
            </w:r>
          </w:p>
        </w:tc>
      </w:tr>
      <w:tr w:rsidR="0033455E" w:rsidRPr="0033455E" w14:paraId="6A76C2AC" w14:textId="77777777" w:rsidTr="00350439">
        <w:tc>
          <w:tcPr>
            <w:tcW w:w="2268" w:type="dxa"/>
          </w:tcPr>
          <w:p w14:paraId="62013E56" w14:textId="77777777" w:rsidR="0033455E" w:rsidRPr="0033455E" w:rsidRDefault="0033455E" w:rsidP="0033455E">
            <w:pPr>
              <w:spacing w:after="160" w:line="259" w:lineRule="auto"/>
              <w:rPr>
                <w:lang w:val="en-US"/>
              </w:rPr>
            </w:pPr>
            <w:r w:rsidRPr="0033455E">
              <w:rPr>
                <w:lang w:val="en-US"/>
              </w:rPr>
              <w:t xml:space="preserve">Approach &amp; Methodology </w:t>
            </w:r>
          </w:p>
        </w:tc>
        <w:tc>
          <w:tcPr>
            <w:tcW w:w="5812" w:type="dxa"/>
          </w:tcPr>
          <w:p w14:paraId="64C1422E" w14:textId="5D900399" w:rsidR="0033455E" w:rsidRPr="0033455E" w:rsidRDefault="0033455E" w:rsidP="0033455E">
            <w:pPr>
              <w:spacing w:after="160" w:line="259" w:lineRule="auto"/>
              <w:rPr>
                <w:lang w:val="en-US"/>
              </w:rPr>
            </w:pPr>
            <w:r w:rsidRPr="0033455E">
              <w:rPr>
                <w:lang w:val="en-US"/>
              </w:rPr>
              <w:t xml:space="preserve">Detail regarding the proposed approach and methodology in delivering the independent </w:t>
            </w:r>
            <w:r w:rsidR="00A61811">
              <w:rPr>
                <w:lang w:val="en-US"/>
              </w:rPr>
              <w:t>review</w:t>
            </w:r>
            <w:r w:rsidRPr="0033455E">
              <w:rPr>
                <w:lang w:val="en-US"/>
              </w:rPr>
              <w:t xml:space="preserve">– including any safeguarding measures, if applicable </w:t>
            </w:r>
          </w:p>
        </w:tc>
        <w:tc>
          <w:tcPr>
            <w:tcW w:w="2268" w:type="dxa"/>
          </w:tcPr>
          <w:p w14:paraId="6514CFDA" w14:textId="77777777" w:rsidR="0033455E" w:rsidRPr="0033455E" w:rsidRDefault="0033455E" w:rsidP="0033455E">
            <w:pPr>
              <w:spacing w:after="160" w:line="259" w:lineRule="auto"/>
              <w:rPr>
                <w:lang w:val="en-US"/>
              </w:rPr>
            </w:pPr>
            <w:r w:rsidRPr="0033455E">
              <w:rPr>
                <w:lang w:val="en-US"/>
              </w:rPr>
              <w:t xml:space="preserve">40 </w:t>
            </w:r>
          </w:p>
        </w:tc>
      </w:tr>
      <w:tr w:rsidR="0033455E" w:rsidRPr="0033455E" w14:paraId="5A23A371" w14:textId="77777777" w:rsidTr="00350439">
        <w:tc>
          <w:tcPr>
            <w:tcW w:w="2268" w:type="dxa"/>
          </w:tcPr>
          <w:p w14:paraId="69173093" w14:textId="77777777" w:rsidR="0033455E" w:rsidRPr="0033455E" w:rsidRDefault="0033455E" w:rsidP="0033455E">
            <w:pPr>
              <w:spacing w:after="160" w:line="259" w:lineRule="auto"/>
              <w:rPr>
                <w:lang w:val="en-US"/>
              </w:rPr>
            </w:pPr>
            <w:r w:rsidRPr="0033455E">
              <w:rPr>
                <w:lang w:val="en-US"/>
              </w:rPr>
              <w:t xml:space="preserve">Value for Money </w:t>
            </w:r>
          </w:p>
        </w:tc>
        <w:tc>
          <w:tcPr>
            <w:tcW w:w="5812" w:type="dxa"/>
          </w:tcPr>
          <w:p w14:paraId="39AF6D6A" w14:textId="1301E2DE" w:rsidR="0033455E" w:rsidRPr="0033455E" w:rsidRDefault="0033455E" w:rsidP="0033455E">
            <w:pPr>
              <w:spacing w:after="160" w:line="259" w:lineRule="auto"/>
              <w:rPr>
                <w:lang w:val="en-US"/>
              </w:rPr>
            </w:pPr>
            <w:r w:rsidRPr="0033455E">
              <w:rPr>
                <w:lang w:val="en-US"/>
              </w:rPr>
              <w:t xml:space="preserve">Quotes must not </w:t>
            </w:r>
            <w:r w:rsidRPr="00E242BD">
              <w:rPr>
                <w:lang w:val="en-US"/>
              </w:rPr>
              <w:t>exceed €1</w:t>
            </w:r>
            <w:r w:rsidR="00D75578" w:rsidRPr="00E242BD">
              <w:rPr>
                <w:lang w:val="en-US"/>
              </w:rPr>
              <w:t>5</w:t>
            </w:r>
            <w:r w:rsidRPr="00E242BD">
              <w:rPr>
                <w:lang w:val="en-US"/>
              </w:rPr>
              <w:t>,000 (including</w:t>
            </w:r>
            <w:r w:rsidRPr="0033455E">
              <w:rPr>
                <w:lang w:val="en-US"/>
              </w:rPr>
              <w:t xml:space="preserve">. VAT) </w:t>
            </w:r>
          </w:p>
        </w:tc>
        <w:tc>
          <w:tcPr>
            <w:tcW w:w="2268" w:type="dxa"/>
          </w:tcPr>
          <w:p w14:paraId="1A055892" w14:textId="77777777" w:rsidR="0033455E" w:rsidRPr="0033455E" w:rsidRDefault="0033455E" w:rsidP="0033455E">
            <w:pPr>
              <w:spacing w:after="160" w:line="259" w:lineRule="auto"/>
              <w:rPr>
                <w:lang w:val="en-US"/>
              </w:rPr>
            </w:pPr>
            <w:r w:rsidRPr="0033455E">
              <w:rPr>
                <w:lang w:val="en-US"/>
              </w:rPr>
              <w:t>15</w:t>
            </w:r>
          </w:p>
        </w:tc>
      </w:tr>
      <w:tr w:rsidR="0033455E" w:rsidRPr="0033455E" w14:paraId="23A49161" w14:textId="77777777" w:rsidTr="00350439">
        <w:tc>
          <w:tcPr>
            <w:tcW w:w="2268" w:type="dxa"/>
          </w:tcPr>
          <w:p w14:paraId="24420E0E" w14:textId="77777777" w:rsidR="0033455E" w:rsidRPr="0033455E" w:rsidRDefault="0033455E" w:rsidP="0033455E">
            <w:pPr>
              <w:spacing w:after="160" w:line="259" w:lineRule="auto"/>
              <w:rPr>
                <w:lang w:val="en-US"/>
              </w:rPr>
            </w:pPr>
            <w:r w:rsidRPr="0033455E">
              <w:rPr>
                <w:lang w:val="en-US"/>
              </w:rPr>
              <w:t xml:space="preserve">Total Marks </w:t>
            </w:r>
          </w:p>
        </w:tc>
        <w:tc>
          <w:tcPr>
            <w:tcW w:w="5812" w:type="dxa"/>
          </w:tcPr>
          <w:p w14:paraId="1521E70F" w14:textId="77777777" w:rsidR="0033455E" w:rsidRPr="0033455E" w:rsidRDefault="0033455E" w:rsidP="0033455E">
            <w:pPr>
              <w:spacing w:after="160" w:line="259" w:lineRule="auto"/>
              <w:rPr>
                <w:lang w:val="en-US"/>
              </w:rPr>
            </w:pPr>
          </w:p>
        </w:tc>
        <w:tc>
          <w:tcPr>
            <w:tcW w:w="2268" w:type="dxa"/>
          </w:tcPr>
          <w:p w14:paraId="50A9F839" w14:textId="77777777" w:rsidR="0033455E" w:rsidRPr="0033455E" w:rsidRDefault="0033455E" w:rsidP="0033455E">
            <w:pPr>
              <w:spacing w:after="160" w:line="259" w:lineRule="auto"/>
              <w:rPr>
                <w:lang w:val="en-US"/>
              </w:rPr>
            </w:pPr>
            <w:r w:rsidRPr="0033455E">
              <w:rPr>
                <w:lang w:val="en-US"/>
              </w:rPr>
              <w:t xml:space="preserve">100 </w:t>
            </w:r>
          </w:p>
        </w:tc>
      </w:tr>
    </w:tbl>
    <w:p w14:paraId="7B69F493" w14:textId="77777777" w:rsidR="0033455E" w:rsidRDefault="0033455E" w:rsidP="0033455E">
      <w:pPr>
        <w:rPr>
          <w:b/>
          <w:bCs/>
          <w:lang w:val="en-US"/>
        </w:rPr>
      </w:pPr>
    </w:p>
    <w:p w14:paraId="3DA506CC" w14:textId="77777777" w:rsidR="0071308A" w:rsidRPr="0033455E" w:rsidRDefault="0071308A" w:rsidP="0033455E">
      <w:pPr>
        <w:rPr>
          <w:b/>
          <w:bCs/>
          <w:lang w:val="en-US"/>
        </w:rPr>
      </w:pPr>
    </w:p>
    <w:p w14:paraId="55F422C7" w14:textId="1E94505B" w:rsidR="0033455E" w:rsidRPr="0033455E" w:rsidRDefault="0033455E" w:rsidP="00C82CF0">
      <w:pPr>
        <w:pStyle w:val="Heading3"/>
        <w:rPr>
          <w:lang w:val="en-US"/>
        </w:rPr>
      </w:pPr>
      <w:r w:rsidRPr="0033455E">
        <w:rPr>
          <w:lang w:val="en-US"/>
        </w:rPr>
        <w:t xml:space="preserve">Management of the </w:t>
      </w:r>
      <w:r w:rsidR="00A61811">
        <w:rPr>
          <w:lang w:val="en-US"/>
        </w:rPr>
        <w:t xml:space="preserve">Review </w:t>
      </w:r>
      <w:r w:rsidRPr="0033455E">
        <w:rPr>
          <w:lang w:val="en-US"/>
        </w:rPr>
        <w:t xml:space="preserve">Process </w:t>
      </w:r>
    </w:p>
    <w:p w14:paraId="11E71173" w14:textId="2EF9CE43" w:rsidR="0033455E" w:rsidRPr="0033455E" w:rsidRDefault="0033455E" w:rsidP="0033455E">
      <w:pPr>
        <w:rPr>
          <w:lang w:val="en-US"/>
        </w:rPr>
      </w:pPr>
      <w:r w:rsidRPr="0033455E">
        <w:rPr>
          <w:lang w:val="en-US"/>
        </w:rPr>
        <w:t>A</w:t>
      </w:r>
      <w:r w:rsidR="004A0C74">
        <w:rPr>
          <w:lang w:val="en-US"/>
        </w:rPr>
        <w:t>s</w:t>
      </w:r>
      <w:r w:rsidR="00673ABE">
        <w:rPr>
          <w:lang w:val="en-US"/>
        </w:rPr>
        <w:t xml:space="preserve"> stated above</w:t>
      </w:r>
      <w:r w:rsidR="00FD029E">
        <w:rPr>
          <w:lang w:val="en-US"/>
        </w:rPr>
        <w:t xml:space="preserve">, the overall </w:t>
      </w:r>
      <w:r w:rsidR="00A61811">
        <w:rPr>
          <w:lang w:val="en-US"/>
        </w:rPr>
        <w:t xml:space="preserve">review </w:t>
      </w:r>
      <w:r w:rsidR="00FD029E">
        <w:rPr>
          <w:lang w:val="en-US"/>
        </w:rPr>
        <w:t xml:space="preserve">will be independent. A.S.S.C. </w:t>
      </w:r>
      <w:proofErr w:type="gramStart"/>
      <w:r w:rsidR="00FD029E">
        <w:rPr>
          <w:lang w:val="en-US"/>
        </w:rPr>
        <w:t>support</w:t>
      </w:r>
      <w:proofErr w:type="gramEnd"/>
      <w:r w:rsidR="00FD029E">
        <w:rPr>
          <w:lang w:val="en-US"/>
        </w:rPr>
        <w:t xml:space="preserve"> </w:t>
      </w:r>
      <w:proofErr w:type="gramStart"/>
      <w:r w:rsidR="00FD029E">
        <w:rPr>
          <w:lang w:val="en-US"/>
        </w:rPr>
        <w:t>the day</w:t>
      </w:r>
      <w:proofErr w:type="gramEnd"/>
      <w:r w:rsidR="00FD029E">
        <w:rPr>
          <w:lang w:val="en-US"/>
        </w:rPr>
        <w:t xml:space="preserve">-to-day project management through </w:t>
      </w:r>
      <w:r w:rsidRPr="0033455E">
        <w:rPr>
          <w:lang w:val="en-US"/>
        </w:rPr>
        <w:t>the Co-Executive Director of Service</w:t>
      </w:r>
      <w:r w:rsidR="008B7B82">
        <w:rPr>
          <w:lang w:val="en-US"/>
        </w:rPr>
        <w:t xml:space="preserve"> Delivery</w:t>
      </w:r>
      <w:r w:rsidRPr="0033455E">
        <w:rPr>
          <w:lang w:val="en-US"/>
        </w:rPr>
        <w:t xml:space="preserve"> &amp; Development. They will act as the key contact person when the project is underway </w:t>
      </w:r>
      <w:hyperlink r:id="rId13" w:history="1">
        <w:r w:rsidRPr="0033455E">
          <w:rPr>
            <w:rStyle w:val="Hyperlink"/>
            <w:lang w:val="en-US"/>
          </w:rPr>
          <w:t>grace@assc.ie</w:t>
        </w:r>
      </w:hyperlink>
      <w:r w:rsidRPr="0033455E">
        <w:rPr>
          <w:lang w:val="en-US"/>
        </w:rPr>
        <w:t xml:space="preserve"> </w:t>
      </w:r>
    </w:p>
    <w:p w14:paraId="6895247E" w14:textId="77777777" w:rsidR="0033455E" w:rsidRPr="0033455E" w:rsidRDefault="0033455E" w:rsidP="0033455E">
      <w:pPr>
        <w:rPr>
          <w:lang w:val="en-US"/>
        </w:rPr>
      </w:pPr>
    </w:p>
    <w:p w14:paraId="448438E2" w14:textId="6FDD947C" w:rsidR="0033455E" w:rsidRPr="0033455E" w:rsidRDefault="0033455E" w:rsidP="00C82CF0">
      <w:pPr>
        <w:pStyle w:val="Heading3"/>
        <w:rPr>
          <w:lang w:val="en-US"/>
        </w:rPr>
      </w:pPr>
      <w:r w:rsidRPr="0033455E">
        <w:rPr>
          <w:lang w:val="en-US"/>
        </w:rPr>
        <w:t xml:space="preserve">Further Information </w:t>
      </w:r>
    </w:p>
    <w:p w14:paraId="1A2B115B" w14:textId="6E3A3DAD" w:rsidR="0033455E" w:rsidRPr="0033455E" w:rsidRDefault="0033455E" w:rsidP="0033455E">
      <w:pPr>
        <w:rPr>
          <w:lang w:val="en-US"/>
        </w:rPr>
      </w:pPr>
      <w:r w:rsidRPr="0033455E">
        <w:rPr>
          <w:lang w:val="en-US"/>
        </w:rPr>
        <w:t xml:space="preserve">Requests for further information or clarification can be made to the Co-Executive Director of Finance &amp; Governance at </w:t>
      </w:r>
      <w:hyperlink r:id="rId14" w:history="1">
        <w:r w:rsidRPr="0033455E">
          <w:rPr>
            <w:rStyle w:val="Hyperlink"/>
            <w:lang w:val="en-US"/>
          </w:rPr>
          <w:t>lynette@assc.ie</w:t>
        </w:r>
      </w:hyperlink>
      <w:r w:rsidRPr="0033455E">
        <w:rPr>
          <w:lang w:val="en-US"/>
        </w:rPr>
        <w:t xml:space="preserve">  </w:t>
      </w:r>
    </w:p>
    <w:p w14:paraId="66072B95" w14:textId="0713716A" w:rsidR="0033455E" w:rsidRPr="0033455E" w:rsidRDefault="0033455E" w:rsidP="00C82CF0">
      <w:pPr>
        <w:pStyle w:val="Heading3"/>
        <w:rPr>
          <w:lang w:val="en-US"/>
        </w:rPr>
      </w:pPr>
      <w:r w:rsidRPr="0033455E">
        <w:rPr>
          <w:lang w:val="en-US"/>
        </w:rPr>
        <w:lastRenderedPageBreak/>
        <w:t xml:space="preserve">Budget </w:t>
      </w:r>
    </w:p>
    <w:p w14:paraId="3C1FDB48" w14:textId="548AF2F5" w:rsidR="0033455E" w:rsidRPr="0033455E" w:rsidRDefault="0033455E" w:rsidP="0033455E">
      <w:pPr>
        <w:rPr>
          <w:lang w:val="en-US"/>
        </w:rPr>
      </w:pPr>
      <w:r w:rsidRPr="0033455E">
        <w:rPr>
          <w:lang w:val="en-US"/>
        </w:rPr>
        <w:t xml:space="preserve">The maximum budget for work detailed in this </w:t>
      </w:r>
      <w:r w:rsidRPr="00E242BD">
        <w:rPr>
          <w:lang w:val="en-US"/>
        </w:rPr>
        <w:t>tender is €1</w:t>
      </w:r>
      <w:r w:rsidR="00E07700" w:rsidRPr="00E242BD">
        <w:rPr>
          <w:lang w:val="en-US"/>
        </w:rPr>
        <w:t>5</w:t>
      </w:r>
      <w:r w:rsidRPr="00E242BD">
        <w:rPr>
          <w:lang w:val="en-US"/>
        </w:rPr>
        <w:t xml:space="preserve">,000.00, including VAT. This would cover all costs, including time spent and any travel &amp; substance payments required to deliver </w:t>
      </w:r>
      <w:r w:rsidRPr="0033455E">
        <w:rPr>
          <w:lang w:val="en-US"/>
        </w:rPr>
        <w:t xml:space="preserve">the project. </w:t>
      </w:r>
    </w:p>
    <w:p w14:paraId="2D2C2A88" w14:textId="77777777" w:rsidR="0033455E" w:rsidRPr="0033455E" w:rsidRDefault="0033455E" w:rsidP="0033455E">
      <w:pPr>
        <w:rPr>
          <w:lang w:val="en-US"/>
        </w:rPr>
      </w:pPr>
      <w:r w:rsidRPr="0033455E">
        <w:rPr>
          <w:lang w:val="en-US"/>
        </w:rPr>
        <w:t xml:space="preserve"> </w:t>
      </w:r>
    </w:p>
    <w:p w14:paraId="495B1C72" w14:textId="5AE4DE75" w:rsidR="0033455E" w:rsidRPr="0033455E" w:rsidRDefault="0033455E" w:rsidP="00C82CF0">
      <w:pPr>
        <w:pStyle w:val="Heading3"/>
        <w:rPr>
          <w:lang w:val="en-US"/>
        </w:rPr>
      </w:pPr>
      <w:r w:rsidRPr="0033455E">
        <w:rPr>
          <w:lang w:val="en-US"/>
        </w:rPr>
        <w:t>Conflict of Interest</w:t>
      </w:r>
    </w:p>
    <w:p w14:paraId="475F0BAB" w14:textId="77777777" w:rsidR="0033455E" w:rsidRPr="0033455E" w:rsidRDefault="0033455E" w:rsidP="0033455E">
      <w:pPr>
        <w:rPr>
          <w:lang w:val="en-US"/>
        </w:rPr>
      </w:pPr>
      <w:r w:rsidRPr="0033455E">
        <w:rPr>
          <w:lang w:val="en-US"/>
        </w:rPr>
        <w:t xml:space="preserve">The application for the tender must disclose any conflict of interest, perceived or actual, relating to the contractor, A.S.S.C. or CUAN. If a conflict arises, this should be disclosed immediately to your point of contact, as detailed in subsection 10 above.  Failure to do so may disqualify the contractor and/or nullify any body of work. This will be dependent on the conflict of interest arising. </w:t>
      </w:r>
    </w:p>
    <w:p w14:paraId="244F7930" w14:textId="77777777" w:rsidR="0033455E" w:rsidRPr="0033455E" w:rsidRDefault="0033455E" w:rsidP="0033455E">
      <w:pPr>
        <w:rPr>
          <w:lang w:val="en-US"/>
        </w:rPr>
      </w:pPr>
    </w:p>
    <w:p w14:paraId="5CE561B1" w14:textId="6770CAFA" w:rsidR="0033455E" w:rsidRPr="0033455E" w:rsidRDefault="0033455E" w:rsidP="00C82CF0">
      <w:pPr>
        <w:pStyle w:val="Heading3"/>
        <w:rPr>
          <w:lang w:val="en-US"/>
        </w:rPr>
      </w:pPr>
      <w:r w:rsidRPr="0033455E">
        <w:rPr>
          <w:lang w:val="en-US"/>
        </w:rPr>
        <w:t xml:space="preserve">Termination </w:t>
      </w:r>
    </w:p>
    <w:p w14:paraId="66E1B903" w14:textId="77777777" w:rsidR="0033455E" w:rsidRPr="0033455E" w:rsidRDefault="0033455E" w:rsidP="0033455E">
      <w:pPr>
        <w:rPr>
          <w:lang w:val="en-US"/>
        </w:rPr>
      </w:pPr>
      <w:r w:rsidRPr="0033455E">
        <w:rPr>
          <w:lang w:val="en-US"/>
        </w:rPr>
        <w:t xml:space="preserve">The right to terminate the contract will lie with A.S.S.C. and CUAN on appropriate consultation. </w:t>
      </w:r>
    </w:p>
    <w:p w14:paraId="59EC844F" w14:textId="77777777" w:rsidR="00A3534D" w:rsidRPr="0033455E" w:rsidRDefault="00A3534D">
      <w:pPr>
        <w:rPr>
          <w:lang w:val="en-US"/>
        </w:rPr>
      </w:pPr>
    </w:p>
    <w:sectPr w:rsidR="00A3534D" w:rsidRPr="0033455E" w:rsidSect="00C82CF0">
      <w:headerReference w:type="default" r:id="rId15"/>
      <w:footerReference w:type="default" r:id="rId16"/>
      <w:pgSz w:w="11906" w:h="16838"/>
      <w:pgMar w:top="720" w:right="720" w:bottom="720" w:left="720" w:header="283"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EE7C5" w14:textId="77777777" w:rsidR="003A17EF" w:rsidRDefault="003A17EF">
      <w:pPr>
        <w:spacing w:after="0" w:line="240" w:lineRule="auto"/>
      </w:pPr>
      <w:r>
        <w:separator/>
      </w:r>
    </w:p>
  </w:endnote>
  <w:endnote w:type="continuationSeparator" w:id="0">
    <w:p w14:paraId="20FE14B1" w14:textId="77777777" w:rsidR="003A17EF" w:rsidRDefault="003A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552480"/>
      <w:docPartObj>
        <w:docPartGallery w:val="Page Numbers (Bottom of Page)"/>
        <w:docPartUnique/>
      </w:docPartObj>
    </w:sdtPr>
    <w:sdtEndPr>
      <w:rPr>
        <w:color w:val="7F7F7F" w:themeColor="background1" w:themeShade="7F"/>
        <w:spacing w:val="60"/>
      </w:rPr>
    </w:sdtEndPr>
    <w:sdtContent>
      <w:p w14:paraId="33910D17" w14:textId="65CC9F92" w:rsidR="009C7FF2" w:rsidRDefault="009C7F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043BF07" w14:textId="77777777" w:rsidR="009C7FF2" w:rsidRDefault="009C7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855FB" w14:textId="77777777" w:rsidR="003A17EF" w:rsidRDefault="003A17EF">
      <w:pPr>
        <w:spacing w:after="0" w:line="240" w:lineRule="auto"/>
      </w:pPr>
      <w:r>
        <w:separator/>
      </w:r>
    </w:p>
  </w:footnote>
  <w:footnote w:type="continuationSeparator" w:id="0">
    <w:p w14:paraId="51222D44" w14:textId="77777777" w:rsidR="003A17EF" w:rsidRDefault="003A1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1276" w14:textId="0B1567EE" w:rsidR="00A45471" w:rsidRPr="004907A6" w:rsidRDefault="00A45471" w:rsidP="008B5298">
    <w:pPr>
      <w:pStyle w:val="Header"/>
      <w:rPr>
        <w:sz w:val="28"/>
        <w:szCs w:val="28"/>
      </w:rPr>
    </w:pPr>
    <w:r>
      <w:rPr>
        <w:noProof/>
      </w:rPr>
      <w:drawing>
        <wp:inline distT="0" distB="0" distL="0" distR="0" wp14:anchorId="01705F15" wp14:editId="4EFC4E2B">
          <wp:extent cx="1032963" cy="642257"/>
          <wp:effectExtent l="0" t="0" r="0" b="5715"/>
          <wp:docPr id="1015772450" name="Picture 5" descr="A logo for a support ser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logo for a support service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779" cy="650847"/>
                  </a:xfrm>
                  <a:prstGeom prst="rect">
                    <a:avLst/>
                  </a:prstGeom>
                  <a:noFill/>
                  <a:ln>
                    <a:noFill/>
                  </a:ln>
                </pic:spPr>
              </pic:pic>
            </a:graphicData>
          </a:graphic>
        </wp:inline>
      </w:drawing>
    </w:r>
    <w:r>
      <w:rPr>
        <w:sz w:val="28"/>
        <w:szCs w:val="28"/>
      </w:rPr>
      <w:tab/>
    </w:r>
    <w:r>
      <w:rPr>
        <w:sz w:val="28"/>
        <w:szCs w:val="28"/>
      </w:rPr>
      <w:tab/>
      <w:t xml:space="preserve">         </w:t>
    </w:r>
  </w:p>
  <w:p w14:paraId="13A82943" w14:textId="77777777" w:rsidR="00A45471" w:rsidRDefault="00A4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C2211"/>
    <w:multiLevelType w:val="hybridMultilevel"/>
    <w:tmpl w:val="36A23220"/>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start w:val="1"/>
      <w:numFmt w:val="bullet"/>
      <w:lvlText w:val=""/>
      <w:lvlJc w:val="left"/>
      <w:pPr>
        <w:ind w:left="3600" w:hanging="360"/>
      </w:pPr>
      <w:rPr>
        <w:rFonts w:ascii="Wingdings" w:hAnsi="Wingdings" w:hint="default"/>
      </w:rPr>
    </w:lvl>
    <w:lvl w:ilvl="3" w:tplc="18090001">
      <w:start w:val="1"/>
      <w:numFmt w:val="bullet"/>
      <w:lvlText w:val=""/>
      <w:lvlJc w:val="left"/>
      <w:pPr>
        <w:ind w:left="4320" w:hanging="360"/>
      </w:pPr>
      <w:rPr>
        <w:rFonts w:ascii="Symbol" w:hAnsi="Symbol" w:hint="default"/>
      </w:rPr>
    </w:lvl>
    <w:lvl w:ilvl="4" w:tplc="18090003">
      <w:start w:val="1"/>
      <w:numFmt w:val="bullet"/>
      <w:lvlText w:val="o"/>
      <w:lvlJc w:val="left"/>
      <w:pPr>
        <w:ind w:left="5040" w:hanging="360"/>
      </w:pPr>
      <w:rPr>
        <w:rFonts w:ascii="Courier New" w:hAnsi="Courier New" w:cs="Courier New" w:hint="default"/>
      </w:rPr>
    </w:lvl>
    <w:lvl w:ilvl="5" w:tplc="18090005">
      <w:start w:val="1"/>
      <w:numFmt w:val="bullet"/>
      <w:lvlText w:val=""/>
      <w:lvlJc w:val="left"/>
      <w:pPr>
        <w:ind w:left="5760" w:hanging="360"/>
      </w:pPr>
      <w:rPr>
        <w:rFonts w:ascii="Wingdings" w:hAnsi="Wingdings" w:hint="default"/>
      </w:rPr>
    </w:lvl>
    <w:lvl w:ilvl="6" w:tplc="18090001">
      <w:start w:val="1"/>
      <w:numFmt w:val="bullet"/>
      <w:lvlText w:val=""/>
      <w:lvlJc w:val="left"/>
      <w:pPr>
        <w:ind w:left="6480" w:hanging="360"/>
      </w:pPr>
      <w:rPr>
        <w:rFonts w:ascii="Symbol" w:hAnsi="Symbol" w:hint="default"/>
      </w:rPr>
    </w:lvl>
    <w:lvl w:ilvl="7" w:tplc="18090003">
      <w:start w:val="1"/>
      <w:numFmt w:val="bullet"/>
      <w:lvlText w:val="o"/>
      <w:lvlJc w:val="left"/>
      <w:pPr>
        <w:ind w:left="7200" w:hanging="360"/>
      </w:pPr>
      <w:rPr>
        <w:rFonts w:ascii="Courier New" w:hAnsi="Courier New" w:cs="Courier New" w:hint="default"/>
      </w:rPr>
    </w:lvl>
    <w:lvl w:ilvl="8" w:tplc="18090005">
      <w:start w:val="1"/>
      <w:numFmt w:val="bullet"/>
      <w:lvlText w:val=""/>
      <w:lvlJc w:val="left"/>
      <w:pPr>
        <w:ind w:left="7920" w:hanging="360"/>
      </w:pPr>
      <w:rPr>
        <w:rFonts w:ascii="Wingdings" w:hAnsi="Wingdings" w:hint="default"/>
      </w:rPr>
    </w:lvl>
  </w:abstractNum>
  <w:abstractNum w:abstractNumId="1" w15:restartNumberingAfterBreak="0">
    <w:nsid w:val="09D736D4"/>
    <w:multiLevelType w:val="hybridMultilevel"/>
    <w:tmpl w:val="2E444656"/>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start w:val="1"/>
      <w:numFmt w:val="bullet"/>
      <w:lvlText w:val=""/>
      <w:lvlJc w:val="left"/>
      <w:pPr>
        <w:ind w:left="3600" w:hanging="360"/>
      </w:pPr>
      <w:rPr>
        <w:rFonts w:ascii="Wingdings" w:hAnsi="Wingdings" w:hint="default"/>
      </w:rPr>
    </w:lvl>
    <w:lvl w:ilvl="3" w:tplc="18090001">
      <w:start w:val="1"/>
      <w:numFmt w:val="bullet"/>
      <w:lvlText w:val=""/>
      <w:lvlJc w:val="left"/>
      <w:pPr>
        <w:ind w:left="4320" w:hanging="360"/>
      </w:pPr>
      <w:rPr>
        <w:rFonts w:ascii="Symbol" w:hAnsi="Symbol" w:hint="default"/>
      </w:rPr>
    </w:lvl>
    <w:lvl w:ilvl="4" w:tplc="18090003">
      <w:start w:val="1"/>
      <w:numFmt w:val="bullet"/>
      <w:lvlText w:val="o"/>
      <w:lvlJc w:val="left"/>
      <w:pPr>
        <w:ind w:left="5040" w:hanging="360"/>
      </w:pPr>
      <w:rPr>
        <w:rFonts w:ascii="Courier New" w:hAnsi="Courier New" w:cs="Courier New" w:hint="default"/>
      </w:rPr>
    </w:lvl>
    <w:lvl w:ilvl="5" w:tplc="18090005">
      <w:start w:val="1"/>
      <w:numFmt w:val="bullet"/>
      <w:lvlText w:val=""/>
      <w:lvlJc w:val="left"/>
      <w:pPr>
        <w:ind w:left="5760" w:hanging="360"/>
      </w:pPr>
      <w:rPr>
        <w:rFonts w:ascii="Wingdings" w:hAnsi="Wingdings" w:hint="default"/>
      </w:rPr>
    </w:lvl>
    <w:lvl w:ilvl="6" w:tplc="18090001">
      <w:start w:val="1"/>
      <w:numFmt w:val="bullet"/>
      <w:lvlText w:val=""/>
      <w:lvlJc w:val="left"/>
      <w:pPr>
        <w:ind w:left="6480" w:hanging="360"/>
      </w:pPr>
      <w:rPr>
        <w:rFonts w:ascii="Symbol" w:hAnsi="Symbol" w:hint="default"/>
      </w:rPr>
    </w:lvl>
    <w:lvl w:ilvl="7" w:tplc="18090003">
      <w:start w:val="1"/>
      <w:numFmt w:val="bullet"/>
      <w:lvlText w:val="o"/>
      <w:lvlJc w:val="left"/>
      <w:pPr>
        <w:ind w:left="7200" w:hanging="360"/>
      </w:pPr>
      <w:rPr>
        <w:rFonts w:ascii="Courier New" w:hAnsi="Courier New" w:cs="Courier New" w:hint="default"/>
      </w:rPr>
    </w:lvl>
    <w:lvl w:ilvl="8" w:tplc="18090005">
      <w:start w:val="1"/>
      <w:numFmt w:val="bullet"/>
      <w:lvlText w:val=""/>
      <w:lvlJc w:val="left"/>
      <w:pPr>
        <w:ind w:left="7920" w:hanging="360"/>
      </w:pPr>
      <w:rPr>
        <w:rFonts w:ascii="Wingdings" w:hAnsi="Wingdings" w:hint="default"/>
      </w:rPr>
    </w:lvl>
  </w:abstractNum>
  <w:abstractNum w:abstractNumId="2" w15:restartNumberingAfterBreak="0">
    <w:nsid w:val="11BD4206"/>
    <w:multiLevelType w:val="hybridMultilevel"/>
    <w:tmpl w:val="3B9E8D3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3" w15:restartNumberingAfterBreak="0">
    <w:nsid w:val="1B792860"/>
    <w:multiLevelType w:val="hybridMultilevel"/>
    <w:tmpl w:val="365CAF0E"/>
    <w:lvl w:ilvl="0" w:tplc="18090013">
      <w:start w:val="1"/>
      <w:numFmt w:val="upperRoman"/>
      <w:lvlText w:val="%1."/>
      <w:lvlJc w:val="right"/>
      <w:pPr>
        <w:ind w:left="1363" w:hanging="360"/>
      </w:pPr>
    </w:lvl>
    <w:lvl w:ilvl="1" w:tplc="18090019" w:tentative="1">
      <w:start w:val="1"/>
      <w:numFmt w:val="lowerLetter"/>
      <w:lvlText w:val="%2."/>
      <w:lvlJc w:val="left"/>
      <w:pPr>
        <w:ind w:left="2083" w:hanging="360"/>
      </w:pPr>
    </w:lvl>
    <w:lvl w:ilvl="2" w:tplc="1809001B" w:tentative="1">
      <w:start w:val="1"/>
      <w:numFmt w:val="lowerRoman"/>
      <w:lvlText w:val="%3."/>
      <w:lvlJc w:val="right"/>
      <w:pPr>
        <w:ind w:left="2803" w:hanging="180"/>
      </w:pPr>
    </w:lvl>
    <w:lvl w:ilvl="3" w:tplc="1809000F" w:tentative="1">
      <w:start w:val="1"/>
      <w:numFmt w:val="decimal"/>
      <w:lvlText w:val="%4."/>
      <w:lvlJc w:val="left"/>
      <w:pPr>
        <w:ind w:left="3523" w:hanging="360"/>
      </w:pPr>
    </w:lvl>
    <w:lvl w:ilvl="4" w:tplc="18090019" w:tentative="1">
      <w:start w:val="1"/>
      <w:numFmt w:val="lowerLetter"/>
      <w:lvlText w:val="%5."/>
      <w:lvlJc w:val="left"/>
      <w:pPr>
        <w:ind w:left="4243" w:hanging="360"/>
      </w:pPr>
    </w:lvl>
    <w:lvl w:ilvl="5" w:tplc="1809001B" w:tentative="1">
      <w:start w:val="1"/>
      <w:numFmt w:val="lowerRoman"/>
      <w:lvlText w:val="%6."/>
      <w:lvlJc w:val="right"/>
      <w:pPr>
        <w:ind w:left="4963" w:hanging="180"/>
      </w:pPr>
    </w:lvl>
    <w:lvl w:ilvl="6" w:tplc="1809000F" w:tentative="1">
      <w:start w:val="1"/>
      <w:numFmt w:val="decimal"/>
      <w:lvlText w:val="%7."/>
      <w:lvlJc w:val="left"/>
      <w:pPr>
        <w:ind w:left="5683" w:hanging="360"/>
      </w:pPr>
    </w:lvl>
    <w:lvl w:ilvl="7" w:tplc="18090019" w:tentative="1">
      <w:start w:val="1"/>
      <w:numFmt w:val="lowerLetter"/>
      <w:lvlText w:val="%8."/>
      <w:lvlJc w:val="left"/>
      <w:pPr>
        <w:ind w:left="6403" w:hanging="360"/>
      </w:pPr>
    </w:lvl>
    <w:lvl w:ilvl="8" w:tplc="1809001B" w:tentative="1">
      <w:start w:val="1"/>
      <w:numFmt w:val="lowerRoman"/>
      <w:lvlText w:val="%9."/>
      <w:lvlJc w:val="right"/>
      <w:pPr>
        <w:ind w:left="7123" w:hanging="180"/>
      </w:pPr>
    </w:lvl>
  </w:abstractNum>
  <w:abstractNum w:abstractNumId="4" w15:restartNumberingAfterBreak="0">
    <w:nsid w:val="220840F5"/>
    <w:multiLevelType w:val="hybridMultilevel"/>
    <w:tmpl w:val="DD8E36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097E0A"/>
    <w:multiLevelType w:val="hybridMultilevel"/>
    <w:tmpl w:val="FBAA3DE0"/>
    <w:lvl w:ilvl="0" w:tplc="18090001">
      <w:start w:val="1"/>
      <w:numFmt w:val="bullet"/>
      <w:lvlText w:val=""/>
      <w:lvlJc w:val="left"/>
      <w:pPr>
        <w:ind w:left="1446" w:hanging="360"/>
      </w:pPr>
      <w:rPr>
        <w:rFonts w:ascii="Symbol" w:hAnsi="Symbol" w:hint="default"/>
      </w:rPr>
    </w:lvl>
    <w:lvl w:ilvl="1" w:tplc="18090003" w:tentative="1">
      <w:start w:val="1"/>
      <w:numFmt w:val="bullet"/>
      <w:lvlText w:val="o"/>
      <w:lvlJc w:val="left"/>
      <w:pPr>
        <w:ind w:left="2166" w:hanging="360"/>
      </w:pPr>
      <w:rPr>
        <w:rFonts w:ascii="Courier New" w:hAnsi="Courier New" w:cs="Courier New" w:hint="default"/>
      </w:rPr>
    </w:lvl>
    <w:lvl w:ilvl="2" w:tplc="18090005" w:tentative="1">
      <w:start w:val="1"/>
      <w:numFmt w:val="bullet"/>
      <w:lvlText w:val=""/>
      <w:lvlJc w:val="left"/>
      <w:pPr>
        <w:ind w:left="2886" w:hanging="360"/>
      </w:pPr>
      <w:rPr>
        <w:rFonts w:ascii="Wingdings" w:hAnsi="Wingdings" w:hint="default"/>
      </w:rPr>
    </w:lvl>
    <w:lvl w:ilvl="3" w:tplc="18090001" w:tentative="1">
      <w:start w:val="1"/>
      <w:numFmt w:val="bullet"/>
      <w:lvlText w:val=""/>
      <w:lvlJc w:val="left"/>
      <w:pPr>
        <w:ind w:left="3606" w:hanging="360"/>
      </w:pPr>
      <w:rPr>
        <w:rFonts w:ascii="Symbol" w:hAnsi="Symbol" w:hint="default"/>
      </w:rPr>
    </w:lvl>
    <w:lvl w:ilvl="4" w:tplc="18090003" w:tentative="1">
      <w:start w:val="1"/>
      <w:numFmt w:val="bullet"/>
      <w:lvlText w:val="o"/>
      <w:lvlJc w:val="left"/>
      <w:pPr>
        <w:ind w:left="4326" w:hanging="360"/>
      </w:pPr>
      <w:rPr>
        <w:rFonts w:ascii="Courier New" w:hAnsi="Courier New" w:cs="Courier New" w:hint="default"/>
      </w:rPr>
    </w:lvl>
    <w:lvl w:ilvl="5" w:tplc="18090005" w:tentative="1">
      <w:start w:val="1"/>
      <w:numFmt w:val="bullet"/>
      <w:lvlText w:val=""/>
      <w:lvlJc w:val="left"/>
      <w:pPr>
        <w:ind w:left="5046" w:hanging="360"/>
      </w:pPr>
      <w:rPr>
        <w:rFonts w:ascii="Wingdings" w:hAnsi="Wingdings" w:hint="default"/>
      </w:rPr>
    </w:lvl>
    <w:lvl w:ilvl="6" w:tplc="18090001" w:tentative="1">
      <w:start w:val="1"/>
      <w:numFmt w:val="bullet"/>
      <w:lvlText w:val=""/>
      <w:lvlJc w:val="left"/>
      <w:pPr>
        <w:ind w:left="5766" w:hanging="360"/>
      </w:pPr>
      <w:rPr>
        <w:rFonts w:ascii="Symbol" w:hAnsi="Symbol" w:hint="default"/>
      </w:rPr>
    </w:lvl>
    <w:lvl w:ilvl="7" w:tplc="18090003" w:tentative="1">
      <w:start w:val="1"/>
      <w:numFmt w:val="bullet"/>
      <w:lvlText w:val="o"/>
      <w:lvlJc w:val="left"/>
      <w:pPr>
        <w:ind w:left="6486" w:hanging="360"/>
      </w:pPr>
      <w:rPr>
        <w:rFonts w:ascii="Courier New" w:hAnsi="Courier New" w:cs="Courier New" w:hint="default"/>
      </w:rPr>
    </w:lvl>
    <w:lvl w:ilvl="8" w:tplc="18090005" w:tentative="1">
      <w:start w:val="1"/>
      <w:numFmt w:val="bullet"/>
      <w:lvlText w:val=""/>
      <w:lvlJc w:val="left"/>
      <w:pPr>
        <w:ind w:left="7206" w:hanging="360"/>
      </w:pPr>
      <w:rPr>
        <w:rFonts w:ascii="Wingdings" w:hAnsi="Wingdings" w:hint="default"/>
      </w:rPr>
    </w:lvl>
  </w:abstractNum>
  <w:abstractNum w:abstractNumId="6" w15:restartNumberingAfterBreak="0">
    <w:nsid w:val="226E09F4"/>
    <w:multiLevelType w:val="hybridMultilevel"/>
    <w:tmpl w:val="4426D318"/>
    <w:lvl w:ilvl="0" w:tplc="CF966322">
      <w:start w:val="1"/>
      <w:numFmt w:val="bullet"/>
      <w:lvlText w:val="o"/>
      <w:lvlJc w:val="left"/>
      <w:pPr>
        <w:ind w:left="720" w:hanging="360"/>
      </w:pPr>
      <w:rPr>
        <w:rFonts w:ascii="Courier New" w:hAnsi="Courier New"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7A07F7"/>
    <w:multiLevelType w:val="multilevel"/>
    <w:tmpl w:val="1FFA3352"/>
    <w:lvl w:ilvl="0">
      <w:start w:val="1"/>
      <w:numFmt w:val="decimal"/>
      <w:lvlText w:val="%1."/>
      <w:lvlJc w:val="left"/>
      <w:pPr>
        <w:ind w:left="720" w:hanging="360"/>
      </w:pPr>
      <w:rPr>
        <w:rFonts w:hint="default"/>
        <w:color w:val="E97132" w:themeColor="accent2"/>
        <w:sz w:val="24"/>
      </w:rPr>
    </w:lvl>
    <w:lvl w:ilvl="1">
      <w:start w:val="1"/>
      <w:numFmt w:val="decimal"/>
      <w:isLgl/>
      <w:lvlText w:val="%1.%2"/>
      <w:lvlJc w:val="left"/>
      <w:pPr>
        <w:ind w:left="1440" w:hanging="720"/>
      </w:pPr>
      <w:rPr>
        <w:rFonts w:hint="default"/>
      </w:rPr>
    </w:lvl>
    <w:lvl w:ilvl="2">
      <w:start w:val="1"/>
      <w:numFmt w:val="upperLetter"/>
      <w:isLgl/>
      <w:lvlText w:val="%1.%2.%3"/>
      <w:lvlJc w:val="left"/>
      <w:pPr>
        <w:ind w:left="1800" w:hanging="720"/>
      </w:pPr>
      <w:rPr>
        <w:rFonts w:hint="default"/>
      </w:rPr>
    </w:lvl>
    <w:lvl w:ilvl="3">
      <w:start w:val="1"/>
      <w:numFmt w:val="upperLetter"/>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21E6D58"/>
    <w:multiLevelType w:val="hybridMultilevel"/>
    <w:tmpl w:val="3D52EA42"/>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start w:val="1"/>
      <w:numFmt w:val="bullet"/>
      <w:lvlText w:val=""/>
      <w:lvlJc w:val="left"/>
      <w:pPr>
        <w:ind w:left="3600" w:hanging="360"/>
      </w:pPr>
      <w:rPr>
        <w:rFonts w:ascii="Wingdings" w:hAnsi="Wingdings" w:hint="default"/>
      </w:rPr>
    </w:lvl>
    <w:lvl w:ilvl="3" w:tplc="18090001">
      <w:start w:val="1"/>
      <w:numFmt w:val="bullet"/>
      <w:lvlText w:val=""/>
      <w:lvlJc w:val="left"/>
      <w:pPr>
        <w:ind w:left="4320" w:hanging="360"/>
      </w:pPr>
      <w:rPr>
        <w:rFonts w:ascii="Symbol" w:hAnsi="Symbol" w:hint="default"/>
      </w:rPr>
    </w:lvl>
    <w:lvl w:ilvl="4" w:tplc="18090003">
      <w:start w:val="1"/>
      <w:numFmt w:val="bullet"/>
      <w:lvlText w:val="o"/>
      <w:lvlJc w:val="left"/>
      <w:pPr>
        <w:ind w:left="5040" w:hanging="360"/>
      </w:pPr>
      <w:rPr>
        <w:rFonts w:ascii="Courier New" w:hAnsi="Courier New" w:cs="Courier New" w:hint="default"/>
      </w:rPr>
    </w:lvl>
    <w:lvl w:ilvl="5" w:tplc="18090005">
      <w:start w:val="1"/>
      <w:numFmt w:val="bullet"/>
      <w:lvlText w:val=""/>
      <w:lvlJc w:val="left"/>
      <w:pPr>
        <w:ind w:left="5760" w:hanging="360"/>
      </w:pPr>
      <w:rPr>
        <w:rFonts w:ascii="Wingdings" w:hAnsi="Wingdings" w:hint="default"/>
      </w:rPr>
    </w:lvl>
    <w:lvl w:ilvl="6" w:tplc="18090001">
      <w:start w:val="1"/>
      <w:numFmt w:val="bullet"/>
      <w:lvlText w:val=""/>
      <w:lvlJc w:val="left"/>
      <w:pPr>
        <w:ind w:left="6480" w:hanging="360"/>
      </w:pPr>
      <w:rPr>
        <w:rFonts w:ascii="Symbol" w:hAnsi="Symbol" w:hint="default"/>
      </w:rPr>
    </w:lvl>
    <w:lvl w:ilvl="7" w:tplc="18090003">
      <w:start w:val="1"/>
      <w:numFmt w:val="bullet"/>
      <w:lvlText w:val="o"/>
      <w:lvlJc w:val="left"/>
      <w:pPr>
        <w:ind w:left="7200" w:hanging="360"/>
      </w:pPr>
      <w:rPr>
        <w:rFonts w:ascii="Courier New" w:hAnsi="Courier New" w:cs="Courier New" w:hint="default"/>
      </w:rPr>
    </w:lvl>
    <w:lvl w:ilvl="8" w:tplc="18090005">
      <w:start w:val="1"/>
      <w:numFmt w:val="bullet"/>
      <w:lvlText w:val=""/>
      <w:lvlJc w:val="left"/>
      <w:pPr>
        <w:ind w:left="7920" w:hanging="360"/>
      </w:pPr>
      <w:rPr>
        <w:rFonts w:ascii="Wingdings" w:hAnsi="Wingdings" w:hint="default"/>
      </w:rPr>
    </w:lvl>
  </w:abstractNum>
  <w:abstractNum w:abstractNumId="9" w15:restartNumberingAfterBreak="0">
    <w:nsid w:val="3A1D1C8B"/>
    <w:multiLevelType w:val="hybridMultilevel"/>
    <w:tmpl w:val="4C68BB0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5133664E"/>
    <w:multiLevelType w:val="hybridMultilevel"/>
    <w:tmpl w:val="F3BAB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630CAF"/>
    <w:multiLevelType w:val="hybridMultilevel"/>
    <w:tmpl w:val="A3627F36"/>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start w:val="1"/>
      <w:numFmt w:val="bullet"/>
      <w:lvlText w:val=""/>
      <w:lvlJc w:val="left"/>
      <w:pPr>
        <w:ind w:left="3600" w:hanging="360"/>
      </w:pPr>
      <w:rPr>
        <w:rFonts w:ascii="Wingdings" w:hAnsi="Wingdings" w:hint="default"/>
      </w:rPr>
    </w:lvl>
    <w:lvl w:ilvl="3" w:tplc="18090001">
      <w:start w:val="1"/>
      <w:numFmt w:val="bullet"/>
      <w:lvlText w:val=""/>
      <w:lvlJc w:val="left"/>
      <w:pPr>
        <w:ind w:left="4320" w:hanging="360"/>
      </w:pPr>
      <w:rPr>
        <w:rFonts w:ascii="Symbol" w:hAnsi="Symbol" w:hint="default"/>
      </w:rPr>
    </w:lvl>
    <w:lvl w:ilvl="4" w:tplc="18090003">
      <w:start w:val="1"/>
      <w:numFmt w:val="bullet"/>
      <w:lvlText w:val="o"/>
      <w:lvlJc w:val="left"/>
      <w:pPr>
        <w:ind w:left="5040" w:hanging="360"/>
      </w:pPr>
      <w:rPr>
        <w:rFonts w:ascii="Courier New" w:hAnsi="Courier New" w:cs="Courier New" w:hint="default"/>
      </w:rPr>
    </w:lvl>
    <w:lvl w:ilvl="5" w:tplc="18090005">
      <w:start w:val="1"/>
      <w:numFmt w:val="bullet"/>
      <w:lvlText w:val=""/>
      <w:lvlJc w:val="left"/>
      <w:pPr>
        <w:ind w:left="5760" w:hanging="360"/>
      </w:pPr>
      <w:rPr>
        <w:rFonts w:ascii="Wingdings" w:hAnsi="Wingdings" w:hint="default"/>
      </w:rPr>
    </w:lvl>
    <w:lvl w:ilvl="6" w:tplc="18090001">
      <w:start w:val="1"/>
      <w:numFmt w:val="bullet"/>
      <w:lvlText w:val=""/>
      <w:lvlJc w:val="left"/>
      <w:pPr>
        <w:ind w:left="6480" w:hanging="360"/>
      </w:pPr>
      <w:rPr>
        <w:rFonts w:ascii="Symbol" w:hAnsi="Symbol" w:hint="default"/>
      </w:rPr>
    </w:lvl>
    <w:lvl w:ilvl="7" w:tplc="18090003">
      <w:start w:val="1"/>
      <w:numFmt w:val="bullet"/>
      <w:lvlText w:val="o"/>
      <w:lvlJc w:val="left"/>
      <w:pPr>
        <w:ind w:left="7200" w:hanging="360"/>
      </w:pPr>
      <w:rPr>
        <w:rFonts w:ascii="Courier New" w:hAnsi="Courier New" w:cs="Courier New" w:hint="default"/>
      </w:rPr>
    </w:lvl>
    <w:lvl w:ilvl="8" w:tplc="18090005">
      <w:start w:val="1"/>
      <w:numFmt w:val="bullet"/>
      <w:lvlText w:val=""/>
      <w:lvlJc w:val="left"/>
      <w:pPr>
        <w:ind w:left="7920" w:hanging="360"/>
      </w:pPr>
      <w:rPr>
        <w:rFonts w:ascii="Wingdings" w:hAnsi="Wingdings" w:hint="default"/>
      </w:rPr>
    </w:lvl>
  </w:abstractNum>
  <w:abstractNum w:abstractNumId="12" w15:restartNumberingAfterBreak="0">
    <w:nsid w:val="518F24AA"/>
    <w:multiLevelType w:val="multilevel"/>
    <w:tmpl w:val="9620BF86"/>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upperLetter"/>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FC4788E"/>
    <w:multiLevelType w:val="hybridMultilevel"/>
    <w:tmpl w:val="123AAE26"/>
    <w:lvl w:ilvl="0" w:tplc="29C845E6">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8C857D7"/>
    <w:multiLevelType w:val="hybridMultilevel"/>
    <w:tmpl w:val="D03E9582"/>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5" w15:restartNumberingAfterBreak="0">
    <w:nsid w:val="79F461B9"/>
    <w:multiLevelType w:val="hybridMultilevel"/>
    <w:tmpl w:val="A10E1A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A5554D"/>
    <w:multiLevelType w:val="hybridMultilevel"/>
    <w:tmpl w:val="6302A872"/>
    <w:lvl w:ilvl="0" w:tplc="6F0C7F76">
      <w:start w:val="1"/>
      <w:numFmt w:val="decimal"/>
      <w:pStyle w:val="Heading3"/>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78596953">
    <w:abstractNumId w:val="7"/>
  </w:num>
  <w:num w:numId="2" w16cid:durableId="2133283476">
    <w:abstractNumId w:val="12"/>
  </w:num>
  <w:num w:numId="3" w16cid:durableId="733353538">
    <w:abstractNumId w:val="3"/>
  </w:num>
  <w:num w:numId="4" w16cid:durableId="263734480">
    <w:abstractNumId w:val="13"/>
  </w:num>
  <w:num w:numId="5" w16cid:durableId="691687983">
    <w:abstractNumId w:val="6"/>
  </w:num>
  <w:num w:numId="6" w16cid:durableId="1040320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095124">
    <w:abstractNumId w:val="2"/>
  </w:num>
  <w:num w:numId="8" w16cid:durableId="865826682">
    <w:abstractNumId w:val="1"/>
  </w:num>
  <w:num w:numId="9" w16cid:durableId="263879852">
    <w:abstractNumId w:val="8"/>
  </w:num>
  <w:num w:numId="10" w16cid:durableId="1600026248">
    <w:abstractNumId w:val="0"/>
  </w:num>
  <w:num w:numId="11" w16cid:durableId="1344475545">
    <w:abstractNumId w:val="11"/>
  </w:num>
  <w:num w:numId="12" w16cid:durableId="26489720">
    <w:abstractNumId w:val="0"/>
  </w:num>
  <w:num w:numId="13" w16cid:durableId="905454514">
    <w:abstractNumId w:val="5"/>
  </w:num>
  <w:num w:numId="14" w16cid:durableId="188760669">
    <w:abstractNumId w:val="4"/>
  </w:num>
  <w:num w:numId="15" w16cid:durableId="843741410">
    <w:abstractNumId w:val="10"/>
  </w:num>
  <w:num w:numId="16" w16cid:durableId="1172841353">
    <w:abstractNumId w:val="15"/>
  </w:num>
  <w:num w:numId="17" w16cid:durableId="1449005022">
    <w:abstractNumId w:val="14"/>
  </w:num>
  <w:num w:numId="18" w16cid:durableId="8878358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5E"/>
    <w:rsid w:val="00001EC6"/>
    <w:rsid w:val="00015A5A"/>
    <w:rsid w:val="00020705"/>
    <w:rsid w:val="0002278E"/>
    <w:rsid w:val="000277D7"/>
    <w:rsid w:val="0003015B"/>
    <w:rsid w:val="000416FA"/>
    <w:rsid w:val="000611B7"/>
    <w:rsid w:val="00063E17"/>
    <w:rsid w:val="000823AA"/>
    <w:rsid w:val="000A41DD"/>
    <w:rsid w:val="000A5BB9"/>
    <w:rsid w:val="000D5EA2"/>
    <w:rsid w:val="00177C62"/>
    <w:rsid w:val="00180F5A"/>
    <w:rsid w:val="0019137C"/>
    <w:rsid w:val="001A414E"/>
    <w:rsid w:val="001B2B53"/>
    <w:rsid w:val="001B6728"/>
    <w:rsid w:val="001C5CD9"/>
    <w:rsid w:val="001F320B"/>
    <w:rsid w:val="00226EB8"/>
    <w:rsid w:val="0026243B"/>
    <w:rsid w:val="0029050E"/>
    <w:rsid w:val="002B0BFF"/>
    <w:rsid w:val="0033455E"/>
    <w:rsid w:val="00350439"/>
    <w:rsid w:val="00355E47"/>
    <w:rsid w:val="003748D4"/>
    <w:rsid w:val="00377D43"/>
    <w:rsid w:val="00383FE6"/>
    <w:rsid w:val="00384CE5"/>
    <w:rsid w:val="00391C72"/>
    <w:rsid w:val="003A17EF"/>
    <w:rsid w:val="003D6846"/>
    <w:rsid w:val="00402C43"/>
    <w:rsid w:val="00426165"/>
    <w:rsid w:val="00474106"/>
    <w:rsid w:val="00476442"/>
    <w:rsid w:val="004A0C74"/>
    <w:rsid w:val="004A4BFC"/>
    <w:rsid w:val="004C65FC"/>
    <w:rsid w:val="004E7020"/>
    <w:rsid w:val="004F4C57"/>
    <w:rsid w:val="00500541"/>
    <w:rsid w:val="00527C18"/>
    <w:rsid w:val="005322E3"/>
    <w:rsid w:val="00544640"/>
    <w:rsid w:val="00555CCF"/>
    <w:rsid w:val="00577349"/>
    <w:rsid w:val="005965D9"/>
    <w:rsid w:val="005A30D7"/>
    <w:rsid w:val="005A719A"/>
    <w:rsid w:val="005C128A"/>
    <w:rsid w:val="005E1E22"/>
    <w:rsid w:val="005F26F8"/>
    <w:rsid w:val="005F4E1E"/>
    <w:rsid w:val="005F6A3F"/>
    <w:rsid w:val="00600B8E"/>
    <w:rsid w:val="006045B4"/>
    <w:rsid w:val="00620AC6"/>
    <w:rsid w:val="00626A80"/>
    <w:rsid w:val="0064636A"/>
    <w:rsid w:val="00650E10"/>
    <w:rsid w:val="0065424B"/>
    <w:rsid w:val="006663E6"/>
    <w:rsid w:val="00673ABE"/>
    <w:rsid w:val="006771CA"/>
    <w:rsid w:val="006820F3"/>
    <w:rsid w:val="00687EBD"/>
    <w:rsid w:val="006A100D"/>
    <w:rsid w:val="006B5FE0"/>
    <w:rsid w:val="006C09A5"/>
    <w:rsid w:val="006E3EE8"/>
    <w:rsid w:val="006F33DE"/>
    <w:rsid w:val="00707BC3"/>
    <w:rsid w:val="007110D6"/>
    <w:rsid w:val="0071308A"/>
    <w:rsid w:val="00727A82"/>
    <w:rsid w:val="0073335F"/>
    <w:rsid w:val="00757147"/>
    <w:rsid w:val="00784042"/>
    <w:rsid w:val="007913FA"/>
    <w:rsid w:val="007A4C18"/>
    <w:rsid w:val="007B438B"/>
    <w:rsid w:val="007E305C"/>
    <w:rsid w:val="008103DC"/>
    <w:rsid w:val="0081604A"/>
    <w:rsid w:val="00820B11"/>
    <w:rsid w:val="0086368B"/>
    <w:rsid w:val="00864F01"/>
    <w:rsid w:val="0086596B"/>
    <w:rsid w:val="00895148"/>
    <w:rsid w:val="008A2C63"/>
    <w:rsid w:val="008B7B82"/>
    <w:rsid w:val="008D60E6"/>
    <w:rsid w:val="008F0786"/>
    <w:rsid w:val="008F2FEC"/>
    <w:rsid w:val="009044C4"/>
    <w:rsid w:val="00907A11"/>
    <w:rsid w:val="00943BB7"/>
    <w:rsid w:val="009445CD"/>
    <w:rsid w:val="009538A2"/>
    <w:rsid w:val="00957AB7"/>
    <w:rsid w:val="009601CF"/>
    <w:rsid w:val="0096504E"/>
    <w:rsid w:val="00977019"/>
    <w:rsid w:val="009B1803"/>
    <w:rsid w:val="009B57AC"/>
    <w:rsid w:val="009C7FF2"/>
    <w:rsid w:val="009E0A52"/>
    <w:rsid w:val="00A15C61"/>
    <w:rsid w:val="00A3534D"/>
    <w:rsid w:val="00A45471"/>
    <w:rsid w:val="00A61811"/>
    <w:rsid w:val="00A77052"/>
    <w:rsid w:val="00AB53CD"/>
    <w:rsid w:val="00AC19EC"/>
    <w:rsid w:val="00AD3EFB"/>
    <w:rsid w:val="00AE7D08"/>
    <w:rsid w:val="00AF74B2"/>
    <w:rsid w:val="00B118C6"/>
    <w:rsid w:val="00B75CC3"/>
    <w:rsid w:val="00B935A1"/>
    <w:rsid w:val="00BA0126"/>
    <w:rsid w:val="00BA1928"/>
    <w:rsid w:val="00BB7A24"/>
    <w:rsid w:val="00BC5962"/>
    <w:rsid w:val="00BD0A3A"/>
    <w:rsid w:val="00BE0258"/>
    <w:rsid w:val="00BE37B5"/>
    <w:rsid w:val="00C155F7"/>
    <w:rsid w:val="00C32652"/>
    <w:rsid w:val="00C5768D"/>
    <w:rsid w:val="00C80F07"/>
    <w:rsid w:val="00C82CF0"/>
    <w:rsid w:val="00C87C6C"/>
    <w:rsid w:val="00CE03D7"/>
    <w:rsid w:val="00D05F90"/>
    <w:rsid w:val="00D115EE"/>
    <w:rsid w:val="00D735BD"/>
    <w:rsid w:val="00D75578"/>
    <w:rsid w:val="00D81BC4"/>
    <w:rsid w:val="00D85BA4"/>
    <w:rsid w:val="00DB5554"/>
    <w:rsid w:val="00DE0BA6"/>
    <w:rsid w:val="00E0110E"/>
    <w:rsid w:val="00E07700"/>
    <w:rsid w:val="00E11E30"/>
    <w:rsid w:val="00E20F0D"/>
    <w:rsid w:val="00E242BD"/>
    <w:rsid w:val="00E253F1"/>
    <w:rsid w:val="00E447DD"/>
    <w:rsid w:val="00E53A74"/>
    <w:rsid w:val="00E53B8B"/>
    <w:rsid w:val="00E56E9C"/>
    <w:rsid w:val="00E667F2"/>
    <w:rsid w:val="00E77BCE"/>
    <w:rsid w:val="00E8058B"/>
    <w:rsid w:val="00EA3BEA"/>
    <w:rsid w:val="00EC59D0"/>
    <w:rsid w:val="00EC7094"/>
    <w:rsid w:val="00ED4ECC"/>
    <w:rsid w:val="00ED7277"/>
    <w:rsid w:val="00EE1510"/>
    <w:rsid w:val="00EF55D1"/>
    <w:rsid w:val="00F015D6"/>
    <w:rsid w:val="00F22D74"/>
    <w:rsid w:val="00F2617C"/>
    <w:rsid w:val="00F37BB2"/>
    <w:rsid w:val="00F46502"/>
    <w:rsid w:val="00F73854"/>
    <w:rsid w:val="00FD029E"/>
    <w:rsid w:val="00FD0A5B"/>
    <w:rsid w:val="00FD1565"/>
    <w:rsid w:val="00FF1DCC"/>
    <w:rsid w:val="00FF334E"/>
    <w:rsid w:val="00FF4D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4B6F0"/>
  <w15:chartTrackingRefBased/>
  <w15:docId w15:val="{3667AE26-4625-4400-AD97-1C247886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2CF0"/>
    <w:pPr>
      <w:keepNext/>
      <w:keepLines/>
      <w:numPr>
        <w:numId w:val="18"/>
      </w:numPr>
      <w:spacing w:before="160" w:after="80"/>
      <w:outlineLvl w:val="2"/>
    </w:pPr>
    <w:rPr>
      <w:rFonts w:eastAsiaTheme="majorEastAsia" w:cstheme="majorBidi"/>
      <w:color w:val="BF4E14" w:themeColor="accent2" w:themeShade="BF"/>
      <w:sz w:val="24"/>
      <w:szCs w:val="28"/>
    </w:rPr>
  </w:style>
  <w:style w:type="paragraph" w:styleId="Heading4">
    <w:name w:val="heading 4"/>
    <w:basedOn w:val="Normal"/>
    <w:next w:val="Normal"/>
    <w:link w:val="Heading4Char"/>
    <w:uiPriority w:val="9"/>
    <w:semiHidden/>
    <w:unhideWhenUsed/>
    <w:qFormat/>
    <w:rsid w:val="00334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2CF0"/>
    <w:rPr>
      <w:rFonts w:eastAsiaTheme="majorEastAsia" w:cstheme="majorBidi"/>
      <w:color w:val="BF4E14" w:themeColor="accent2" w:themeShade="BF"/>
      <w:sz w:val="24"/>
      <w:szCs w:val="28"/>
    </w:rPr>
  </w:style>
  <w:style w:type="character" w:customStyle="1" w:styleId="Heading4Char">
    <w:name w:val="Heading 4 Char"/>
    <w:basedOn w:val="DefaultParagraphFont"/>
    <w:link w:val="Heading4"/>
    <w:uiPriority w:val="9"/>
    <w:semiHidden/>
    <w:rsid w:val="00334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55E"/>
    <w:rPr>
      <w:rFonts w:eastAsiaTheme="majorEastAsia" w:cstheme="majorBidi"/>
      <w:color w:val="272727" w:themeColor="text1" w:themeTint="D8"/>
    </w:rPr>
  </w:style>
  <w:style w:type="paragraph" w:styleId="Title">
    <w:name w:val="Title"/>
    <w:basedOn w:val="Normal"/>
    <w:next w:val="Normal"/>
    <w:link w:val="TitleChar"/>
    <w:uiPriority w:val="10"/>
    <w:qFormat/>
    <w:rsid w:val="00334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55E"/>
    <w:pPr>
      <w:spacing w:before="160"/>
      <w:jc w:val="center"/>
    </w:pPr>
    <w:rPr>
      <w:i/>
      <w:iCs/>
      <w:color w:val="404040" w:themeColor="text1" w:themeTint="BF"/>
    </w:rPr>
  </w:style>
  <w:style w:type="character" w:customStyle="1" w:styleId="QuoteChar">
    <w:name w:val="Quote Char"/>
    <w:basedOn w:val="DefaultParagraphFont"/>
    <w:link w:val="Quote"/>
    <w:uiPriority w:val="29"/>
    <w:rsid w:val="0033455E"/>
    <w:rPr>
      <w:i/>
      <w:iCs/>
      <w:color w:val="404040" w:themeColor="text1" w:themeTint="BF"/>
    </w:rPr>
  </w:style>
  <w:style w:type="paragraph" w:styleId="ListParagraph">
    <w:name w:val="List Paragraph"/>
    <w:basedOn w:val="Normal"/>
    <w:uiPriority w:val="34"/>
    <w:qFormat/>
    <w:rsid w:val="0033455E"/>
    <w:pPr>
      <w:ind w:left="720"/>
      <w:contextualSpacing/>
    </w:pPr>
  </w:style>
  <w:style w:type="character" w:styleId="IntenseEmphasis">
    <w:name w:val="Intense Emphasis"/>
    <w:basedOn w:val="DefaultParagraphFont"/>
    <w:uiPriority w:val="21"/>
    <w:qFormat/>
    <w:rsid w:val="0033455E"/>
    <w:rPr>
      <w:i/>
      <w:iCs/>
      <w:color w:val="0F4761" w:themeColor="accent1" w:themeShade="BF"/>
    </w:rPr>
  </w:style>
  <w:style w:type="paragraph" w:styleId="IntenseQuote">
    <w:name w:val="Intense Quote"/>
    <w:basedOn w:val="Normal"/>
    <w:next w:val="Normal"/>
    <w:link w:val="IntenseQuoteChar"/>
    <w:uiPriority w:val="30"/>
    <w:qFormat/>
    <w:rsid w:val="00334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55E"/>
    <w:rPr>
      <w:i/>
      <w:iCs/>
      <w:color w:val="0F4761" w:themeColor="accent1" w:themeShade="BF"/>
    </w:rPr>
  </w:style>
  <w:style w:type="character" w:styleId="IntenseReference">
    <w:name w:val="Intense Reference"/>
    <w:basedOn w:val="DefaultParagraphFont"/>
    <w:uiPriority w:val="32"/>
    <w:qFormat/>
    <w:rsid w:val="0033455E"/>
    <w:rPr>
      <w:b/>
      <w:bCs/>
      <w:smallCaps/>
      <w:color w:val="0F4761" w:themeColor="accent1" w:themeShade="BF"/>
      <w:spacing w:val="5"/>
    </w:rPr>
  </w:style>
  <w:style w:type="table" w:styleId="TableGrid">
    <w:name w:val="Table Grid"/>
    <w:basedOn w:val="TableNormal"/>
    <w:uiPriority w:val="39"/>
    <w:rsid w:val="0033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4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55E"/>
  </w:style>
  <w:style w:type="character" w:styleId="CommentReference">
    <w:name w:val="annotation reference"/>
    <w:basedOn w:val="DefaultParagraphFont"/>
    <w:uiPriority w:val="99"/>
    <w:semiHidden/>
    <w:unhideWhenUsed/>
    <w:rsid w:val="0033455E"/>
    <w:rPr>
      <w:sz w:val="16"/>
      <w:szCs w:val="16"/>
    </w:rPr>
  </w:style>
  <w:style w:type="paragraph" w:styleId="CommentText">
    <w:name w:val="annotation text"/>
    <w:basedOn w:val="Normal"/>
    <w:link w:val="CommentTextChar"/>
    <w:uiPriority w:val="99"/>
    <w:unhideWhenUsed/>
    <w:rsid w:val="0033455E"/>
    <w:pPr>
      <w:spacing w:line="240" w:lineRule="auto"/>
    </w:pPr>
    <w:rPr>
      <w:sz w:val="20"/>
      <w:szCs w:val="20"/>
    </w:rPr>
  </w:style>
  <w:style w:type="character" w:customStyle="1" w:styleId="CommentTextChar">
    <w:name w:val="Comment Text Char"/>
    <w:basedOn w:val="DefaultParagraphFont"/>
    <w:link w:val="CommentText"/>
    <w:uiPriority w:val="99"/>
    <w:rsid w:val="0033455E"/>
    <w:rPr>
      <w:sz w:val="20"/>
      <w:szCs w:val="20"/>
    </w:rPr>
  </w:style>
  <w:style w:type="character" w:styleId="Hyperlink">
    <w:name w:val="Hyperlink"/>
    <w:basedOn w:val="DefaultParagraphFont"/>
    <w:uiPriority w:val="99"/>
    <w:unhideWhenUsed/>
    <w:rsid w:val="0033455E"/>
    <w:rPr>
      <w:color w:val="467886" w:themeColor="hyperlink"/>
      <w:u w:val="single"/>
    </w:rPr>
  </w:style>
  <w:style w:type="character" w:styleId="UnresolvedMention">
    <w:name w:val="Unresolved Mention"/>
    <w:basedOn w:val="DefaultParagraphFont"/>
    <w:uiPriority w:val="99"/>
    <w:semiHidden/>
    <w:unhideWhenUsed/>
    <w:rsid w:val="0033455E"/>
    <w:rPr>
      <w:color w:val="605E5C"/>
      <w:shd w:val="clear" w:color="auto" w:fill="E1DFDD"/>
    </w:rPr>
  </w:style>
  <w:style w:type="character" w:customStyle="1" w:styleId="cf01">
    <w:name w:val="cf01"/>
    <w:basedOn w:val="DefaultParagraphFont"/>
    <w:rsid w:val="00B935A1"/>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86368B"/>
    <w:rPr>
      <w:b/>
      <w:bCs/>
    </w:rPr>
  </w:style>
  <w:style w:type="character" w:customStyle="1" w:styleId="CommentSubjectChar">
    <w:name w:val="Comment Subject Char"/>
    <w:basedOn w:val="CommentTextChar"/>
    <w:link w:val="CommentSubject"/>
    <w:uiPriority w:val="99"/>
    <w:semiHidden/>
    <w:rsid w:val="0086368B"/>
    <w:rPr>
      <w:b/>
      <w:bCs/>
      <w:sz w:val="20"/>
      <w:szCs w:val="20"/>
    </w:rPr>
  </w:style>
  <w:style w:type="paragraph" w:styleId="Footer">
    <w:name w:val="footer"/>
    <w:basedOn w:val="Normal"/>
    <w:link w:val="FooterChar"/>
    <w:uiPriority w:val="99"/>
    <w:unhideWhenUsed/>
    <w:rsid w:val="009C7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FF2"/>
  </w:style>
  <w:style w:type="character" w:styleId="FollowedHyperlink">
    <w:name w:val="FollowedHyperlink"/>
    <w:basedOn w:val="DefaultParagraphFont"/>
    <w:uiPriority w:val="99"/>
    <w:semiHidden/>
    <w:unhideWhenUsed/>
    <w:rsid w:val="00D735B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331591">
      <w:bodyDiv w:val="1"/>
      <w:marLeft w:val="0"/>
      <w:marRight w:val="0"/>
      <w:marTop w:val="0"/>
      <w:marBottom w:val="0"/>
      <w:divBdr>
        <w:top w:val="none" w:sz="0" w:space="0" w:color="auto"/>
        <w:left w:val="none" w:sz="0" w:space="0" w:color="auto"/>
        <w:bottom w:val="none" w:sz="0" w:space="0" w:color="auto"/>
        <w:right w:val="none" w:sz="0" w:space="0" w:color="auto"/>
      </w:divBdr>
    </w:div>
    <w:div w:id="156568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rensrights.ie/wp-content/uploads/2023/04/UNCRCEnglish.pdf" TargetMode="External"/><Relationship Id="rId13" Type="http://schemas.openxmlformats.org/officeDocument/2006/relationships/hyperlink" Target="mailto:grace@assc.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sc.ie" TargetMode="External"/><Relationship Id="rId12" Type="http://schemas.openxmlformats.org/officeDocument/2006/relationships/hyperlink" Target="mailto:administration@assc.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gov.ie/228481/69e48889-49ea-49d6-8143-982f6cc28bac.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rishstatutebook.ie/eli/2017/act/28/enacted/en/html" TargetMode="External"/><Relationship Id="rId4" Type="http://schemas.openxmlformats.org/officeDocument/2006/relationships/webSettings" Target="webSettings.xml"/><Relationship Id="rId9" Type="http://schemas.openxmlformats.org/officeDocument/2006/relationships/hyperlink" Target="https://eur-lex.europa.eu/legal-content/EN/TXT/PDF/?uri=CELEX:32012L0029" TargetMode="External"/><Relationship Id="rId14" Type="http://schemas.openxmlformats.org/officeDocument/2006/relationships/hyperlink" Target="mailto:lynette@assc.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2324</Words>
  <Characters>13578</Characters>
  <Application>Microsoft Office Word</Application>
  <DocSecurity>0</DocSecurity>
  <Lines>308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Bradshaw</dc:creator>
  <cp:keywords/>
  <dc:description/>
  <cp:lastModifiedBy>Caroline Bagnall</cp:lastModifiedBy>
  <cp:revision>12</cp:revision>
  <dcterms:created xsi:type="dcterms:W3CDTF">2025-05-27T10:24:00Z</dcterms:created>
  <dcterms:modified xsi:type="dcterms:W3CDTF">2025-05-28T12:21:00Z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f054c9ef-6d44-41e6-97f6-6e485b6c8f1e</vt:lpwstr>
  </property>
</Properties>
</file>