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A8" w:rsidRDefault="006325A8" w:rsidP="006325A8"/>
    <w:p w:rsidR="00DF52C8" w:rsidRDefault="00DF52C8" w:rsidP="006325A8"/>
    <w:p w:rsidR="00DF52C8" w:rsidRDefault="00DF52C8" w:rsidP="006325A8"/>
    <w:p w:rsidR="00517345" w:rsidRDefault="00517345" w:rsidP="006325A8"/>
    <w:p w:rsidR="00517345" w:rsidRDefault="00517345" w:rsidP="006325A8"/>
    <w:p w:rsidR="00F44FC2" w:rsidRDefault="006325A8" w:rsidP="006325A8">
      <w:pPr>
        <w:jc w:val="center"/>
      </w:pPr>
      <w:r>
        <w:rPr>
          <w:rFonts w:ascii="Arial" w:hAnsi="Arial" w:cs="Arial"/>
          <w:i/>
          <w:iCs/>
          <w:noProof/>
          <w:color w:val="3D85C6"/>
          <w:sz w:val="15"/>
          <w:szCs w:val="15"/>
          <w:lang w:val="en-GB" w:eastAsia="en-GB"/>
        </w:rPr>
        <w:drawing>
          <wp:inline distT="0" distB="0" distL="0" distR="0">
            <wp:extent cx="2524125" cy="1743075"/>
            <wp:effectExtent l="0" t="0" r="9525" b="9525"/>
            <wp:docPr id="2" name="Picture 2" descr="https://drive.google.com/a/vitahouse.org/uc?id=0BxaWw4E3kfqib2NPdXVsaFlGNmc&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ive.google.com/a/vitahouse.org/uc?id=0BxaWw4E3kfqib2NPdXVsaFlGNmc&amp;export=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743075"/>
                    </a:xfrm>
                    <a:prstGeom prst="rect">
                      <a:avLst/>
                    </a:prstGeom>
                    <a:noFill/>
                    <a:ln>
                      <a:noFill/>
                    </a:ln>
                  </pic:spPr>
                </pic:pic>
              </a:graphicData>
            </a:graphic>
          </wp:inline>
        </w:drawing>
      </w:r>
    </w:p>
    <w:p w:rsidR="006325A8" w:rsidRDefault="006325A8" w:rsidP="006325A8"/>
    <w:p w:rsidR="006325A8" w:rsidRDefault="006325A8" w:rsidP="006325A8"/>
    <w:p w:rsidR="006325A8" w:rsidRPr="006325A8" w:rsidRDefault="006325A8" w:rsidP="006325A8">
      <w:pPr>
        <w:rPr>
          <w:b/>
          <w:sz w:val="24"/>
          <w:szCs w:val="24"/>
        </w:rPr>
      </w:pPr>
    </w:p>
    <w:p w:rsidR="00517345" w:rsidRPr="00517345" w:rsidRDefault="00517345" w:rsidP="00517345">
      <w:pPr>
        <w:jc w:val="center"/>
        <w:rPr>
          <w:rFonts w:ascii="Arial Rounded MT Bold" w:hAnsi="Arial Rounded MT Bold"/>
        </w:rPr>
      </w:pPr>
      <w:r w:rsidRPr="00517345">
        <w:rPr>
          <w:rFonts w:ascii="Arial Rounded MT Bold" w:hAnsi="Arial Rounded MT Bold"/>
        </w:rPr>
        <w:t xml:space="preserve">Provision of </w:t>
      </w:r>
      <w:r w:rsidR="004E042B">
        <w:rPr>
          <w:rFonts w:ascii="Arial Rounded MT Bold" w:hAnsi="Arial Rounded MT Bold"/>
        </w:rPr>
        <w:t>Strategic Plan</w:t>
      </w:r>
    </w:p>
    <w:p w:rsidR="00517345" w:rsidRPr="00517345" w:rsidRDefault="00517345" w:rsidP="00517345">
      <w:pPr>
        <w:jc w:val="center"/>
        <w:rPr>
          <w:rFonts w:ascii="Arial Rounded MT Bold" w:hAnsi="Arial Rounded MT Bold"/>
        </w:rPr>
      </w:pPr>
      <w:r w:rsidRPr="00517345">
        <w:rPr>
          <w:rFonts w:ascii="Arial Rounded MT Bold" w:hAnsi="Arial Rounded MT Bold"/>
        </w:rPr>
        <w:t>Request for Tender</w:t>
      </w:r>
    </w:p>
    <w:p w:rsidR="006325A8" w:rsidRPr="00517345" w:rsidRDefault="006325A8" w:rsidP="00517345">
      <w:pPr>
        <w:jc w:val="center"/>
        <w:rPr>
          <w:rFonts w:ascii="Arial Rounded MT Bold" w:hAnsi="Arial Rounded MT Bold"/>
        </w:rPr>
      </w:pPr>
    </w:p>
    <w:p w:rsidR="006325A8" w:rsidRPr="00517345" w:rsidRDefault="00517345" w:rsidP="00517345">
      <w:pPr>
        <w:jc w:val="center"/>
        <w:rPr>
          <w:rFonts w:ascii="Arial Rounded MT Bold" w:hAnsi="Arial Rounded MT Bold"/>
        </w:rPr>
      </w:pPr>
      <w:r w:rsidRPr="00517345">
        <w:rPr>
          <w:rFonts w:ascii="Arial Rounded MT Bold" w:hAnsi="Arial Rounded MT Bold"/>
        </w:rPr>
        <w:t>VITA HOUSE SERVICES COMPANY</w:t>
      </w:r>
    </w:p>
    <w:p w:rsidR="00517345" w:rsidRDefault="00517345" w:rsidP="006325A8"/>
    <w:p w:rsidR="00517345" w:rsidRPr="00517345" w:rsidRDefault="004E042B" w:rsidP="00517345">
      <w:pPr>
        <w:jc w:val="center"/>
        <w:rPr>
          <w:rFonts w:ascii="Arial Rounded MT Bold" w:hAnsi="Arial Rounded MT Bold"/>
        </w:rPr>
      </w:pPr>
      <w:r>
        <w:rPr>
          <w:rFonts w:ascii="Arial Rounded MT Bold" w:hAnsi="Arial Rounded MT Bold"/>
        </w:rPr>
        <w:t>May</w:t>
      </w:r>
      <w:r w:rsidR="00517345" w:rsidRPr="00517345">
        <w:rPr>
          <w:rFonts w:ascii="Arial Rounded MT Bold" w:hAnsi="Arial Rounded MT Bold"/>
        </w:rPr>
        <w:t xml:space="preserve"> 202</w:t>
      </w:r>
      <w:r w:rsidR="008F1DD9">
        <w:rPr>
          <w:rFonts w:ascii="Arial Rounded MT Bold" w:hAnsi="Arial Rounded MT Bold"/>
        </w:rPr>
        <w:t>5</w:t>
      </w:r>
    </w:p>
    <w:p w:rsidR="00517345" w:rsidRDefault="00517345" w:rsidP="006325A8"/>
    <w:p w:rsidR="00517345" w:rsidRDefault="00517345" w:rsidP="006325A8"/>
    <w:p w:rsidR="00517345" w:rsidRDefault="00517345" w:rsidP="006325A8"/>
    <w:p w:rsidR="00517345" w:rsidRDefault="00517345" w:rsidP="006325A8"/>
    <w:p w:rsidR="00517345" w:rsidRDefault="00517345" w:rsidP="006325A8"/>
    <w:p w:rsidR="00517345" w:rsidRDefault="00517345" w:rsidP="006325A8"/>
    <w:p w:rsidR="00310357" w:rsidRDefault="00310357" w:rsidP="006325A8">
      <w:bookmarkStart w:id="0" w:name="_GoBack"/>
      <w:bookmarkEnd w:id="0"/>
    </w:p>
    <w:p w:rsidR="00517345" w:rsidRDefault="00517345" w:rsidP="006325A8"/>
    <w:p w:rsidR="00A028B8" w:rsidRPr="00DF52C8" w:rsidRDefault="00A028B8" w:rsidP="00A028B8">
      <w:pPr>
        <w:pStyle w:val="ListParagraph"/>
        <w:numPr>
          <w:ilvl w:val="0"/>
          <w:numId w:val="1"/>
        </w:numPr>
        <w:rPr>
          <w:b/>
          <w:sz w:val="22"/>
          <w:szCs w:val="22"/>
          <w:shd w:val="clear" w:color="auto" w:fill="FFFFFF"/>
        </w:rPr>
      </w:pPr>
      <w:r w:rsidRPr="00DF52C8">
        <w:rPr>
          <w:b/>
          <w:sz w:val="22"/>
          <w:szCs w:val="22"/>
          <w:shd w:val="clear" w:color="auto" w:fill="FFFFFF"/>
        </w:rPr>
        <w:lastRenderedPageBreak/>
        <w:t>Introduction</w:t>
      </w:r>
    </w:p>
    <w:p w:rsidR="00A028B8" w:rsidRPr="002F578D" w:rsidRDefault="00A028B8" w:rsidP="00D57FE5">
      <w:pPr>
        <w:rPr>
          <w:sz w:val="22"/>
          <w:szCs w:val="22"/>
          <w:shd w:val="clear" w:color="auto" w:fill="FFFFFF"/>
        </w:rPr>
      </w:pPr>
      <w:r>
        <w:rPr>
          <w:sz w:val="22"/>
          <w:szCs w:val="22"/>
          <w:shd w:val="clear" w:color="auto" w:fill="FFFFFF"/>
        </w:rPr>
        <w:t>Vita House Services Company Limited by Guarantee, hereby know as Vita House, is seeking to appoint</w:t>
      </w:r>
      <w:r w:rsidR="004E042B">
        <w:rPr>
          <w:sz w:val="22"/>
          <w:szCs w:val="22"/>
          <w:shd w:val="clear" w:color="auto" w:fill="FFFFFF"/>
        </w:rPr>
        <w:t xml:space="preserve"> a</w:t>
      </w:r>
      <w:r>
        <w:rPr>
          <w:sz w:val="22"/>
          <w:szCs w:val="22"/>
          <w:shd w:val="clear" w:color="auto" w:fill="FFFFFF"/>
        </w:rPr>
        <w:t xml:space="preserve"> </w:t>
      </w:r>
      <w:r w:rsidR="004E042B">
        <w:rPr>
          <w:sz w:val="22"/>
          <w:szCs w:val="22"/>
          <w:shd w:val="clear" w:color="auto" w:fill="FFFFFF"/>
        </w:rPr>
        <w:t xml:space="preserve">consultant to develop our </w:t>
      </w:r>
      <w:r w:rsidR="0002431C">
        <w:rPr>
          <w:sz w:val="22"/>
          <w:szCs w:val="22"/>
          <w:shd w:val="clear" w:color="auto" w:fill="FFFFFF"/>
        </w:rPr>
        <w:t>Strategic Plan for 202</w:t>
      </w:r>
      <w:r w:rsidR="004963A8">
        <w:rPr>
          <w:sz w:val="22"/>
          <w:szCs w:val="22"/>
          <w:shd w:val="clear" w:color="auto" w:fill="FFFFFF"/>
        </w:rPr>
        <w:t>6</w:t>
      </w:r>
      <w:r w:rsidR="0002431C">
        <w:rPr>
          <w:sz w:val="22"/>
          <w:szCs w:val="22"/>
          <w:shd w:val="clear" w:color="auto" w:fill="FFFFFF"/>
        </w:rPr>
        <w:t xml:space="preserve"> </w:t>
      </w:r>
      <w:r w:rsidR="004E042B">
        <w:rPr>
          <w:sz w:val="22"/>
          <w:szCs w:val="22"/>
          <w:shd w:val="clear" w:color="auto" w:fill="FFFFFF"/>
        </w:rPr>
        <w:t xml:space="preserve">to 2030. </w:t>
      </w:r>
    </w:p>
    <w:p w:rsidR="002C1CF6" w:rsidRDefault="002C1CF6" w:rsidP="00A028B8">
      <w:pPr>
        <w:ind w:left="360"/>
        <w:rPr>
          <w:sz w:val="22"/>
          <w:szCs w:val="22"/>
          <w:shd w:val="clear" w:color="auto" w:fill="FFFFFF"/>
        </w:rPr>
      </w:pPr>
    </w:p>
    <w:p w:rsidR="00A028B8" w:rsidRPr="00DF52C8" w:rsidRDefault="002C1CF6" w:rsidP="006325A8">
      <w:pPr>
        <w:pStyle w:val="ListParagraph"/>
        <w:numPr>
          <w:ilvl w:val="0"/>
          <w:numId w:val="1"/>
        </w:numPr>
        <w:rPr>
          <w:b/>
          <w:sz w:val="22"/>
          <w:szCs w:val="22"/>
          <w:shd w:val="clear" w:color="auto" w:fill="FFFFFF"/>
        </w:rPr>
      </w:pPr>
      <w:r w:rsidRPr="00DF52C8">
        <w:rPr>
          <w:b/>
          <w:sz w:val="22"/>
          <w:szCs w:val="22"/>
          <w:shd w:val="clear" w:color="auto" w:fill="FFFFFF"/>
        </w:rPr>
        <w:t>Background</w:t>
      </w:r>
    </w:p>
    <w:p w:rsidR="00517345" w:rsidRDefault="00517345" w:rsidP="006325A8">
      <w:pPr>
        <w:rPr>
          <w:sz w:val="22"/>
          <w:szCs w:val="22"/>
          <w:shd w:val="clear" w:color="auto" w:fill="FFFFFF"/>
        </w:rPr>
      </w:pPr>
      <w:r w:rsidRPr="00A028B8">
        <w:rPr>
          <w:sz w:val="22"/>
          <w:szCs w:val="22"/>
          <w:shd w:val="clear" w:color="auto" w:fill="FFFFFF"/>
        </w:rPr>
        <w:t>Vita House Family Centre was established in 1993. It is a community, not for profit agency governed by a board of directors, and a company limited by guarantee</w:t>
      </w:r>
      <w:r w:rsidR="00DF52C8">
        <w:rPr>
          <w:sz w:val="22"/>
          <w:szCs w:val="22"/>
          <w:shd w:val="clear" w:color="auto" w:fill="FFFFFF"/>
        </w:rPr>
        <w:t>. The aim is</w:t>
      </w:r>
      <w:r w:rsidRPr="00A028B8">
        <w:rPr>
          <w:sz w:val="22"/>
          <w:szCs w:val="22"/>
          <w:shd w:val="clear" w:color="auto" w:fill="FFFFFF"/>
        </w:rPr>
        <w:t xml:space="preserve"> to provide a place of welcome for all, where families and individuals would be encouraged and supported to develop their true potential.</w:t>
      </w:r>
    </w:p>
    <w:p w:rsidR="000A2E23" w:rsidRPr="0094235D" w:rsidRDefault="00F954E8" w:rsidP="000A2E23">
      <w:pPr>
        <w:rPr>
          <w:sz w:val="22"/>
          <w:szCs w:val="22"/>
          <w:shd w:val="clear" w:color="auto" w:fill="FFFFFF"/>
        </w:rPr>
      </w:pPr>
      <w:r>
        <w:rPr>
          <w:sz w:val="22"/>
          <w:szCs w:val="22"/>
          <w:shd w:val="clear" w:color="auto" w:fill="FFFFFF"/>
        </w:rPr>
        <w:t xml:space="preserve">As the organisation developed over the years, so too did the provision of services and supporting programmes.  </w:t>
      </w:r>
      <w:r w:rsidR="000A2E23" w:rsidRPr="0094235D">
        <w:rPr>
          <w:sz w:val="22"/>
          <w:szCs w:val="22"/>
          <w:shd w:val="clear" w:color="auto" w:fill="FFFFFF"/>
        </w:rPr>
        <w:t>Under th</w:t>
      </w:r>
      <w:r>
        <w:rPr>
          <w:sz w:val="22"/>
          <w:szCs w:val="22"/>
          <w:shd w:val="clear" w:color="auto" w:fill="FFFFFF"/>
        </w:rPr>
        <w:t xml:space="preserve">e umbrella of Vita </w:t>
      </w:r>
      <w:proofErr w:type="gramStart"/>
      <w:r>
        <w:rPr>
          <w:sz w:val="22"/>
          <w:szCs w:val="22"/>
          <w:shd w:val="clear" w:color="auto" w:fill="FFFFFF"/>
        </w:rPr>
        <w:t>House</w:t>
      </w:r>
      <w:proofErr w:type="gramEnd"/>
      <w:r>
        <w:rPr>
          <w:sz w:val="22"/>
          <w:szCs w:val="22"/>
          <w:shd w:val="clear" w:color="auto" w:fill="FFFFFF"/>
        </w:rPr>
        <w:t xml:space="preserve"> the following services are also provided:</w:t>
      </w:r>
    </w:p>
    <w:p w:rsidR="000A2E23" w:rsidRPr="0094235D" w:rsidRDefault="000A2E23" w:rsidP="00DF52C8">
      <w:pPr>
        <w:pStyle w:val="ListParagraph"/>
        <w:numPr>
          <w:ilvl w:val="0"/>
          <w:numId w:val="6"/>
        </w:numPr>
        <w:rPr>
          <w:sz w:val="22"/>
          <w:szCs w:val="22"/>
          <w:shd w:val="clear" w:color="auto" w:fill="FFFFFF"/>
        </w:rPr>
      </w:pPr>
      <w:r w:rsidRPr="0094235D">
        <w:rPr>
          <w:sz w:val="22"/>
          <w:szCs w:val="22"/>
          <w:shd w:val="clear" w:color="auto" w:fill="FFFFFF"/>
        </w:rPr>
        <w:t>South Roscommon Family Resource Centre which offers support to families &amp; individuals</w:t>
      </w:r>
      <w:r w:rsidR="004E042B">
        <w:rPr>
          <w:sz w:val="22"/>
          <w:szCs w:val="22"/>
          <w:shd w:val="clear" w:color="auto" w:fill="FFFFFF"/>
        </w:rPr>
        <w:t xml:space="preserve"> and includes services such as the Young Carers project, </w:t>
      </w:r>
      <w:r w:rsidR="00497FAF">
        <w:rPr>
          <w:sz w:val="22"/>
          <w:szCs w:val="22"/>
          <w:shd w:val="clear" w:color="auto" w:fill="FFFFFF"/>
        </w:rPr>
        <w:t>Brazilian</w:t>
      </w:r>
      <w:r w:rsidR="004E042B">
        <w:rPr>
          <w:sz w:val="22"/>
          <w:szCs w:val="22"/>
          <w:shd w:val="clear" w:color="auto" w:fill="FFFFFF"/>
        </w:rPr>
        <w:t xml:space="preserve"> Resource service and Drug and Alcohol Family support worker. </w:t>
      </w:r>
    </w:p>
    <w:p w:rsidR="000A2E23" w:rsidRPr="0094235D" w:rsidRDefault="000A2E23" w:rsidP="00DF52C8">
      <w:pPr>
        <w:pStyle w:val="ListParagraph"/>
        <w:numPr>
          <w:ilvl w:val="0"/>
          <w:numId w:val="6"/>
        </w:numPr>
        <w:rPr>
          <w:sz w:val="22"/>
          <w:szCs w:val="22"/>
          <w:shd w:val="clear" w:color="auto" w:fill="FFFFFF"/>
        </w:rPr>
      </w:pPr>
      <w:r w:rsidRPr="0094235D">
        <w:rPr>
          <w:sz w:val="22"/>
          <w:szCs w:val="22"/>
          <w:shd w:val="clear" w:color="auto" w:fill="FFFFFF"/>
        </w:rPr>
        <w:t>Suicide Be</w:t>
      </w:r>
      <w:r w:rsidR="00F954E8">
        <w:rPr>
          <w:sz w:val="22"/>
          <w:szCs w:val="22"/>
          <w:shd w:val="clear" w:color="auto" w:fill="FFFFFF"/>
        </w:rPr>
        <w:t>reavement service which offers support &amp; a</w:t>
      </w:r>
      <w:r w:rsidRPr="0094235D">
        <w:rPr>
          <w:sz w:val="22"/>
          <w:szCs w:val="22"/>
          <w:shd w:val="clear" w:color="auto" w:fill="FFFFFF"/>
        </w:rPr>
        <w:t>ssista</w:t>
      </w:r>
      <w:r w:rsidR="00F954E8">
        <w:rPr>
          <w:sz w:val="22"/>
          <w:szCs w:val="22"/>
          <w:shd w:val="clear" w:color="auto" w:fill="FFFFFF"/>
        </w:rPr>
        <w:t>nce for individuals &amp; families grieving the death of a loved one by s</w:t>
      </w:r>
      <w:r w:rsidRPr="0094235D">
        <w:rPr>
          <w:sz w:val="22"/>
          <w:szCs w:val="22"/>
          <w:shd w:val="clear" w:color="auto" w:fill="FFFFFF"/>
        </w:rPr>
        <w:t>uicide. </w:t>
      </w:r>
    </w:p>
    <w:p w:rsidR="000A2E23" w:rsidRPr="0094235D" w:rsidRDefault="000A2E23" w:rsidP="00DF52C8">
      <w:pPr>
        <w:pStyle w:val="ListParagraph"/>
        <w:numPr>
          <w:ilvl w:val="0"/>
          <w:numId w:val="6"/>
        </w:numPr>
        <w:rPr>
          <w:sz w:val="22"/>
          <w:szCs w:val="22"/>
          <w:shd w:val="clear" w:color="auto" w:fill="FFFFFF"/>
        </w:rPr>
      </w:pPr>
      <w:r w:rsidRPr="0094235D">
        <w:rPr>
          <w:sz w:val="22"/>
          <w:szCs w:val="22"/>
          <w:shd w:val="clear" w:color="auto" w:fill="FFFFFF"/>
        </w:rPr>
        <w:t xml:space="preserve">Jacinta's Smile which offers bereaved sibling </w:t>
      </w:r>
      <w:r w:rsidR="0094235D" w:rsidRPr="0094235D">
        <w:rPr>
          <w:sz w:val="22"/>
          <w:szCs w:val="22"/>
          <w:shd w:val="clear" w:color="auto" w:fill="FFFFFF"/>
        </w:rPr>
        <w:t>support.</w:t>
      </w:r>
    </w:p>
    <w:p w:rsidR="00497F22" w:rsidRDefault="000A2E23" w:rsidP="00497F22">
      <w:pPr>
        <w:pStyle w:val="ListParagraph"/>
        <w:numPr>
          <w:ilvl w:val="0"/>
          <w:numId w:val="6"/>
        </w:numPr>
        <w:rPr>
          <w:sz w:val="22"/>
          <w:szCs w:val="22"/>
          <w:shd w:val="clear" w:color="auto" w:fill="FFFFFF"/>
        </w:rPr>
      </w:pPr>
      <w:r w:rsidRPr="0094235D">
        <w:rPr>
          <w:sz w:val="22"/>
          <w:szCs w:val="22"/>
          <w:shd w:val="clear" w:color="auto" w:fill="FFFFFF"/>
        </w:rPr>
        <w:t>Cancer Support Service with offers support for people effected by cancer and also their family and friends. </w:t>
      </w:r>
    </w:p>
    <w:p w:rsidR="004E042B" w:rsidRDefault="004E042B" w:rsidP="00497F22">
      <w:pPr>
        <w:pStyle w:val="ListParagraph"/>
        <w:numPr>
          <w:ilvl w:val="0"/>
          <w:numId w:val="6"/>
        </w:numPr>
        <w:rPr>
          <w:sz w:val="22"/>
          <w:szCs w:val="22"/>
          <w:shd w:val="clear" w:color="auto" w:fill="FFFFFF"/>
        </w:rPr>
      </w:pPr>
      <w:r>
        <w:rPr>
          <w:sz w:val="22"/>
          <w:szCs w:val="22"/>
          <w:shd w:val="clear" w:color="auto" w:fill="FFFFFF"/>
        </w:rPr>
        <w:t>Monksland Outreach services which provides service on an outreach basis.</w:t>
      </w:r>
    </w:p>
    <w:p w:rsidR="00497F22" w:rsidRDefault="00497F22" w:rsidP="00497F22">
      <w:pPr>
        <w:rPr>
          <w:sz w:val="22"/>
          <w:szCs w:val="22"/>
          <w:shd w:val="clear" w:color="auto" w:fill="FFFFFF"/>
        </w:rPr>
      </w:pPr>
      <w:r>
        <w:rPr>
          <w:sz w:val="22"/>
          <w:szCs w:val="22"/>
          <w:shd w:val="clear" w:color="auto" w:fill="FFFFFF"/>
        </w:rPr>
        <w:t xml:space="preserve">More information about our organisation can be found on </w:t>
      </w:r>
      <w:hyperlink r:id="rId6" w:history="1">
        <w:r w:rsidRPr="00027D71">
          <w:rPr>
            <w:rStyle w:val="Hyperlink"/>
            <w:sz w:val="22"/>
            <w:szCs w:val="22"/>
            <w:shd w:val="clear" w:color="auto" w:fill="FFFFFF"/>
          </w:rPr>
          <w:t>www.vitahouse.org</w:t>
        </w:r>
      </w:hyperlink>
    </w:p>
    <w:p w:rsidR="00497F22" w:rsidRPr="00497F22" w:rsidRDefault="00497F22" w:rsidP="00497F22">
      <w:pPr>
        <w:pStyle w:val="ListParagraph"/>
        <w:numPr>
          <w:ilvl w:val="0"/>
          <w:numId w:val="1"/>
        </w:numPr>
        <w:rPr>
          <w:b/>
          <w:sz w:val="22"/>
          <w:szCs w:val="22"/>
          <w:shd w:val="clear" w:color="auto" w:fill="FFFFFF"/>
        </w:rPr>
      </w:pPr>
      <w:r w:rsidRPr="00497F22">
        <w:rPr>
          <w:b/>
          <w:sz w:val="22"/>
          <w:szCs w:val="22"/>
          <w:shd w:val="clear" w:color="auto" w:fill="FFFFFF"/>
        </w:rPr>
        <w:t>Other Information</w:t>
      </w:r>
    </w:p>
    <w:p w:rsidR="00497F22" w:rsidRDefault="00497F22" w:rsidP="00497F22">
      <w:pPr>
        <w:pStyle w:val="ListParagraph"/>
        <w:numPr>
          <w:ilvl w:val="0"/>
          <w:numId w:val="7"/>
        </w:numPr>
        <w:rPr>
          <w:sz w:val="22"/>
          <w:szCs w:val="22"/>
          <w:shd w:val="clear" w:color="auto" w:fill="FFFFFF"/>
        </w:rPr>
      </w:pPr>
      <w:r>
        <w:rPr>
          <w:sz w:val="22"/>
          <w:szCs w:val="22"/>
          <w:shd w:val="clear" w:color="auto" w:fill="FFFFFF"/>
        </w:rPr>
        <w:t>CRO:</w:t>
      </w:r>
      <w:r w:rsidR="00AE52D9">
        <w:rPr>
          <w:sz w:val="22"/>
          <w:szCs w:val="22"/>
          <w:shd w:val="clear" w:color="auto" w:fill="FFFFFF"/>
        </w:rPr>
        <w:t>475518</w:t>
      </w:r>
    </w:p>
    <w:p w:rsidR="00497F22" w:rsidRDefault="00497F22" w:rsidP="00497F22">
      <w:pPr>
        <w:pStyle w:val="ListParagraph"/>
        <w:numPr>
          <w:ilvl w:val="0"/>
          <w:numId w:val="7"/>
        </w:numPr>
        <w:rPr>
          <w:sz w:val="22"/>
          <w:szCs w:val="22"/>
          <w:shd w:val="clear" w:color="auto" w:fill="FFFFFF"/>
        </w:rPr>
      </w:pPr>
      <w:r>
        <w:rPr>
          <w:sz w:val="22"/>
          <w:szCs w:val="22"/>
          <w:shd w:val="clear" w:color="auto" w:fill="FFFFFF"/>
        </w:rPr>
        <w:t xml:space="preserve">Charity Number: </w:t>
      </w:r>
      <w:r w:rsidR="00AE52D9">
        <w:rPr>
          <w:sz w:val="22"/>
          <w:szCs w:val="22"/>
          <w:shd w:val="clear" w:color="auto" w:fill="FFFFFF"/>
        </w:rPr>
        <w:t>19275</w:t>
      </w:r>
    </w:p>
    <w:p w:rsidR="00497F22" w:rsidRDefault="00497F22" w:rsidP="00497F22">
      <w:pPr>
        <w:pStyle w:val="ListParagraph"/>
        <w:numPr>
          <w:ilvl w:val="0"/>
          <w:numId w:val="7"/>
        </w:numPr>
        <w:rPr>
          <w:sz w:val="22"/>
          <w:szCs w:val="22"/>
          <w:shd w:val="clear" w:color="auto" w:fill="FFFFFF"/>
        </w:rPr>
      </w:pPr>
      <w:r>
        <w:rPr>
          <w:sz w:val="22"/>
          <w:szCs w:val="22"/>
          <w:shd w:val="clear" w:color="auto" w:fill="FFFFFF"/>
        </w:rPr>
        <w:t>Number of Employees:</w:t>
      </w:r>
      <w:r w:rsidR="002F00B5">
        <w:rPr>
          <w:sz w:val="22"/>
          <w:szCs w:val="22"/>
          <w:shd w:val="clear" w:color="auto" w:fill="FFFFFF"/>
        </w:rPr>
        <w:t xml:space="preserve"> </w:t>
      </w:r>
      <w:r w:rsidR="002B0527">
        <w:rPr>
          <w:sz w:val="22"/>
          <w:szCs w:val="22"/>
          <w:shd w:val="clear" w:color="auto" w:fill="FFFFFF"/>
        </w:rPr>
        <w:t>11</w:t>
      </w:r>
    </w:p>
    <w:p w:rsidR="00497F22" w:rsidRDefault="00497F22" w:rsidP="00497F22">
      <w:pPr>
        <w:pStyle w:val="ListParagraph"/>
        <w:numPr>
          <w:ilvl w:val="0"/>
          <w:numId w:val="7"/>
        </w:numPr>
        <w:rPr>
          <w:sz w:val="22"/>
          <w:szCs w:val="22"/>
          <w:shd w:val="clear" w:color="auto" w:fill="FFFFFF"/>
        </w:rPr>
      </w:pPr>
      <w:r>
        <w:rPr>
          <w:sz w:val="22"/>
          <w:szCs w:val="22"/>
          <w:shd w:val="clear" w:color="auto" w:fill="FFFFFF"/>
        </w:rPr>
        <w:t>Governance</w:t>
      </w:r>
      <w:r w:rsidR="002F00B5">
        <w:rPr>
          <w:sz w:val="22"/>
          <w:szCs w:val="22"/>
          <w:shd w:val="clear" w:color="auto" w:fill="FFFFFF"/>
        </w:rPr>
        <w:t>: Voluntary Board of Trustees</w:t>
      </w:r>
    </w:p>
    <w:p w:rsidR="004E042B" w:rsidRDefault="004E042B" w:rsidP="00584381">
      <w:pPr>
        <w:pStyle w:val="ListParagraph"/>
        <w:ind w:left="1440"/>
        <w:rPr>
          <w:sz w:val="22"/>
          <w:szCs w:val="22"/>
          <w:shd w:val="clear" w:color="auto" w:fill="FFFFFF"/>
        </w:rPr>
      </w:pPr>
    </w:p>
    <w:p w:rsidR="00497F22" w:rsidRDefault="00497F22" w:rsidP="00497F22">
      <w:pPr>
        <w:pStyle w:val="ListParagraph"/>
        <w:numPr>
          <w:ilvl w:val="1"/>
          <w:numId w:val="1"/>
        </w:numPr>
        <w:rPr>
          <w:sz w:val="22"/>
          <w:szCs w:val="22"/>
        </w:rPr>
      </w:pPr>
      <w:r>
        <w:rPr>
          <w:sz w:val="22"/>
          <w:szCs w:val="22"/>
        </w:rPr>
        <w:t>Principal Funding Sources</w:t>
      </w:r>
    </w:p>
    <w:p w:rsidR="00497F22" w:rsidRDefault="00497F22" w:rsidP="00497F22">
      <w:pPr>
        <w:pStyle w:val="ListParagraph"/>
        <w:numPr>
          <w:ilvl w:val="0"/>
          <w:numId w:val="8"/>
        </w:numPr>
        <w:rPr>
          <w:sz w:val="22"/>
          <w:szCs w:val="22"/>
        </w:rPr>
      </w:pPr>
      <w:r>
        <w:rPr>
          <w:sz w:val="22"/>
          <w:szCs w:val="22"/>
        </w:rPr>
        <w:t>Tusla</w:t>
      </w:r>
    </w:p>
    <w:p w:rsidR="00497F22" w:rsidRDefault="00497F22" w:rsidP="00497F22">
      <w:pPr>
        <w:pStyle w:val="ListParagraph"/>
        <w:numPr>
          <w:ilvl w:val="0"/>
          <w:numId w:val="8"/>
        </w:numPr>
        <w:rPr>
          <w:sz w:val="22"/>
          <w:szCs w:val="22"/>
        </w:rPr>
      </w:pPr>
      <w:r>
        <w:rPr>
          <w:sz w:val="22"/>
          <w:szCs w:val="22"/>
        </w:rPr>
        <w:t>HSE</w:t>
      </w:r>
    </w:p>
    <w:p w:rsidR="004E042B" w:rsidRPr="00584381" w:rsidRDefault="002F00B5">
      <w:pPr>
        <w:pStyle w:val="ListParagraph"/>
        <w:numPr>
          <w:ilvl w:val="0"/>
          <w:numId w:val="8"/>
        </w:numPr>
        <w:rPr>
          <w:sz w:val="22"/>
          <w:szCs w:val="22"/>
        </w:rPr>
      </w:pPr>
      <w:r>
        <w:rPr>
          <w:sz w:val="22"/>
          <w:szCs w:val="22"/>
        </w:rPr>
        <w:t>Donations</w:t>
      </w:r>
    </w:p>
    <w:p w:rsidR="004E042B" w:rsidRPr="009C56C2" w:rsidRDefault="004E042B" w:rsidP="00584381">
      <w:pPr>
        <w:pStyle w:val="NoSpacing"/>
        <w:ind w:left="720"/>
        <w:rPr>
          <w:rFonts w:cstheme="minorHAnsi"/>
          <w:b/>
          <w:sz w:val="22"/>
          <w:szCs w:val="22"/>
        </w:rPr>
      </w:pPr>
    </w:p>
    <w:p w:rsidR="004E042B" w:rsidRDefault="004E042B">
      <w:pPr>
        <w:pStyle w:val="NoSpacing"/>
        <w:numPr>
          <w:ilvl w:val="0"/>
          <w:numId w:val="1"/>
        </w:numPr>
        <w:rPr>
          <w:rFonts w:cstheme="minorHAnsi"/>
          <w:sz w:val="22"/>
          <w:szCs w:val="22"/>
        </w:rPr>
      </w:pPr>
      <w:r w:rsidRPr="004E042B">
        <w:rPr>
          <w:rFonts w:cstheme="minorHAnsi"/>
          <w:b/>
          <w:sz w:val="22"/>
          <w:szCs w:val="22"/>
        </w:rPr>
        <w:t xml:space="preserve"> Purpose of the Tender</w:t>
      </w:r>
      <w:r w:rsidRPr="004E042B">
        <w:rPr>
          <w:rFonts w:cstheme="minorHAnsi"/>
          <w:sz w:val="22"/>
          <w:szCs w:val="22"/>
        </w:rPr>
        <w:br/>
      </w:r>
    </w:p>
    <w:p w:rsidR="004E042B" w:rsidRPr="00584381" w:rsidRDefault="004E042B" w:rsidP="00584381">
      <w:pPr>
        <w:rPr>
          <w:sz w:val="22"/>
          <w:szCs w:val="22"/>
        </w:rPr>
      </w:pPr>
      <w:r w:rsidRPr="0002431C">
        <w:rPr>
          <w:sz w:val="22"/>
          <w:szCs w:val="22"/>
        </w:rPr>
        <w:t xml:space="preserve">We invite proposals from experienced consultants or agencies to facilitate the development of a comprehensive strategic plan for Vita House. The plan will guide our organisation over the next </w:t>
      </w:r>
      <w:r>
        <w:rPr>
          <w:sz w:val="22"/>
          <w:szCs w:val="22"/>
        </w:rPr>
        <w:t>five</w:t>
      </w:r>
      <w:r w:rsidRPr="0002431C">
        <w:rPr>
          <w:sz w:val="22"/>
          <w:szCs w:val="22"/>
        </w:rPr>
        <w:t xml:space="preserve"> years, ensuring we meet community needs, optimise our resources, and remain sustainable. </w:t>
      </w:r>
    </w:p>
    <w:p w:rsidR="004E042B" w:rsidRDefault="004E042B" w:rsidP="00584381">
      <w:pPr>
        <w:pStyle w:val="NoSpacing"/>
        <w:rPr>
          <w:rFonts w:cstheme="minorHAnsi"/>
          <w:sz w:val="22"/>
          <w:szCs w:val="22"/>
        </w:rPr>
      </w:pPr>
    </w:p>
    <w:p w:rsidR="004E042B" w:rsidRPr="009C56C2" w:rsidRDefault="004E042B" w:rsidP="00584381">
      <w:pPr>
        <w:pStyle w:val="NoSpacing"/>
        <w:ind w:left="720"/>
        <w:rPr>
          <w:rFonts w:cstheme="minorHAnsi"/>
          <w:sz w:val="22"/>
          <w:szCs w:val="22"/>
        </w:rPr>
      </w:pPr>
    </w:p>
    <w:p w:rsidR="004E042B" w:rsidRPr="00584381" w:rsidRDefault="004E042B" w:rsidP="00584381">
      <w:pPr>
        <w:pStyle w:val="ListParagraph"/>
        <w:numPr>
          <w:ilvl w:val="0"/>
          <w:numId w:val="1"/>
        </w:numPr>
        <w:rPr>
          <w:b/>
          <w:sz w:val="22"/>
          <w:szCs w:val="22"/>
        </w:rPr>
      </w:pPr>
      <w:r w:rsidRPr="00584381">
        <w:rPr>
          <w:b/>
          <w:sz w:val="22"/>
          <w:szCs w:val="22"/>
        </w:rPr>
        <w:t>Scope of Work</w:t>
      </w:r>
    </w:p>
    <w:p w:rsidR="004E042B" w:rsidRPr="00584381" w:rsidRDefault="004E042B" w:rsidP="00584381">
      <w:pPr>
        <w:rPr>
          <w:sz w:val="22"/>
          <w:szCs w:val="22"/>
        </w:rPr>
      </w:pPr>
      <w:r w:rsidRPr="00584381">
        <w:rPr>
          <w:sz w:val="22"/>
          <w:szCs w:val="22"/>
        </w:rPr>
        <w:t>The successful applicant will:</w:t>
      </w:r>
    </w:p>
    <w:p w:rsidR="004E042B" w:rsidRPr="00584381" w:rsidRDefault="004E042B" w:rsidP="00584381">
      <w:pPr>
        <w:pStyle w:val="ListParagraph"/>
        <w:numPr>
          <w:ilvl w:val="0"/>
          <w:numId w:val="15"/>
        </w:numPr>
        <w:rPr>
          <w:sz w:val="22"/>
          <w:szCs w:val="22"/>
        </w:rPr>
      </w:pPr>
      <w:r w:rsidRPr="00584381">
        <w:rPr>
          <w:sz w:val="22"/>
          <w:szCs w:val="22"/>
        </w:rPr>
        <w:t>Conduct a needs assessment involving staff, service users, and key stakeholders.</w:t>
      </w:r>
    </w:p>
    <w:p w:rsidR="004E042B" w:rsidRPr="00584381" w:rsidRDefault="004E042B" w:rsidP="00584381">
      <w:pPr>
        <w:pStyle w:val="ListParagraph"/>
        <w:numPr>
          <w:ilvl w:val="0"/>
          <w:numId w:val="15"/>
        </w:numPr>
        <w:rPr>
          <w:sz w:val="22"/>
          <w:szCs w:val="22"/>
        </w:rPr>
      </w:pPr>
      <w:r w:rsidRPr="00584381">
        <w:rPr>
          <w:sz w:val="22"/>
          <w:szCs w:val="22"/>
        </w:rPr>
        <w:t>Review current services, infrastructure, and organisational structure.</w:t>
      </w:r>
    </w:p>
    <w:p w:rsidR="004E042B" w:rsidRPr="00584381" w:rsidRDefault="004E042B" w:rsidP="00584381">
      <w:pPr>
        <w:pStyle w:val="ListParagraph"/>
        <w:numPr>
          <w:ilvl w:val="0"/>
          <w:numId w:val="15"/>
        </w:numPr>
        <w:rPr>
          <w:sz w:val="22"/>
          <w:szCs w:val="22"/>
        </w:rPr>
      </w:pPr>
      <w:r w:rsidRPr="00584381">
        <w:rPr>
          <w:sz w:val="22"/>
          <w:szCs w:val="22"/>
        </w:rPr>
        <w:t>Facilitate workshops and consultations with staff, board, and community partners.</w:t>
      </w:r>
    </w:p>
    <w:p w:rsidR="004E042B" w:rsidRPr="00584381" w:rsidRDefault="004E042B" w:rsidP="00584381">
      <w:pPr>
        <w:pStyle w:val="ListParagraph"/>
        <w:numPr>
          <w:ilvl w:val="0"/>
          <w:numId w:val="15"/>
        </w:numPr>
        <w:rPr>
          <w:sz w:val="22"/>
          <w:szCs w:val="22"/>
        </w:rPr>
      </w:pPr>
      <w:r w:rsidRPr="00584381">
        <w:rPr>
          <w:sz w:val="22"/>
          <w:szCs w:val="22"/>
        </w:rPr>
        <w:t>Analyse strengths, weaknesses, opportunities, and threats (SWOT).</w:t>
      </w:r>
    </w:p>
    <w:p w:rsidR="004E042B" w:rsidRPr="00584381" w:rsidRDefault="004E042B" w:rsidP="00584381">
      <w:pPr>
        <w:pStyle w:val="ListParagraph"/>
        <w:numPr>
          <w:ilvl w:val="0"/>
          <w:numId w:val="15"/>
        </w:numPr>
        <w:rPr>
          <w:sz w:val="22"/>
          <w:szCs w:val="22"/>
        </w:rPr>
      </w:pPr>
      <w:r w:rsidRPr="00584381">
        <w:rPr>
          <w:sz w:val="22"/>
          <w:szCs w:val="22"/>
        </w:rPr>
        <w:t>Develop clear, actionable strategic objectives and a practical implementation plan.</w:t>
      </w:r>
    </w:p>
    <w:p w:rsidR="004E042B" w:rsidRPr="00584381" w:rsidRDefault="004E042B" w:rsidP="00584381">
      <w:pPr>
        <w:pStyle w:val="ListParagraph"/>
        <w:numPr>
          <w:ilvl w:val="0"/>
          <w:numId w:val="15"/>
        </w:numPr>
        <w:rPr>
          <w:sz w:val="22"/>
          <w:szCs w:val="22"/>
        </w:rPr>
      </w:pPr>
      <w:r w:rsidRPr="00584381">
        <w:rPr>
          <w:sz w:val="22"/>
          <w:szCs w:val="22"/>
        </w:rPr>
        <w:t>Present the final strategic plan to the board of directors.</w:t>
      </w:r>
    </w:p>
    <w:p w:rsidR="004E042B" w:rsidRPr="009C56C2" w:rsidRDefault="004E042B" w:rsidP="00584381">
      <w:pPr>
        <w:pStyle w:val="NoSpacing"/>
        <w:ind w:left="720"/>
        <w:rPr>
          <w:rFonts w:cstheme="minorHAnsi"/>
          <w:sz w:val="22"/>
          <w:szCs w:val="22"/>
        </w:rPr>
      </w:pPr>
    </w:p>
    <w:p w:rsidR="004E042B" w:rsidRDefault="004E042B" w:rsidP="00584381">
      <w:pPr>
        <w:pStyle w:val="ListParagraph"/>
        <w:numPr>
          <w:ilvl w:val="0"/>
          <w:numId w:val="1"/>
        </w:numPr>
        <w:rPr>
          <w:b/>
          <w:sz w:val="22"/>
          <w:szCs w:val="22"/>
        </w:rPr>
      </w:pPr>
      <w:r w:rsidRPr="00584381">
        <w:rPr>
          <w:b/>
          <w:sz w:val="22"/>
          <w:szCs w:val="22"/>
        </w:rPr>
        <w:t>Project Goals</w:t>
      </w:r>
    </w:p>
    <w:p w:rsidR="004E042B" w:rsidRPr="00584381" w:rsidRDefault="004E042B" w:rsidP="00584381">
      <w:pPr>
        <w:pStyle w:val="ListParagraph"/>
        <w:rPr>
          <w:b/>
          <w:sz w:val="22"/>
          <w:szCs w:val="22"/>
        </w:rPr>
      </w:pPr>
    </w:p>
    <w:p w:rsidR="004E042B" w:rsidRPr="00584381" w:rsidRDefault="004E042B" w:rsidP="00584381">
      <w:pPr>
        <w:pStyle w:val="ListParagraph"/>
        <w:numPr>
          <w:ilvl w:val="0"/>
          <w:numId w:val="16"/>
        </w:numPr>
        <w:rPr>
          <w:sz w:val="22"/>
          <w:szCs w:val="22"/>
        </w:rPr>
      </w:pPr>
      <w:r w:rsidRPr="00584381">
        <w:rPr>
          <w:sz w:val="22"/>
          <w:szCs w:val="22"/>
        </w:rPr>
        <w:t>Create a strategic plan that reflects Vita House’s values and mission.</w:t>
      </w:r>
    </w:p>
    <w:p w:rsidR="004E042B" w:rsidRPr="00584381" w:rsidRDefault="004E042B" w:rsidP="00584381">
      <w:pPr>
        <w:pStyle w:val="ListParagraph"/>
        <w:numPr>
          <w:ilvl w:val="0"/>
          <w:numId w:val="16"/>
        </w:numPr>
        <w:rPr>
          <w:sz w:val="22"/>
          <w:szCs w:val="22"/>
        </w:rPr>
      </w:pPr>
      <w:r w:rsidRPr="00584381">
        <w:rPr>
          <w:sz w:val="22"/>
          <w:szCs w:val="22"/>
        </w:rPr>
        <w:t>Ensure the plan addresses service integration, resource allocation, and future growth.</w:t>
      </w:r>
    </w:p>
    <w:p w:rsidR="004E042B" w:rsidRDefault="004E042B" w:rsidP="00584381">
      <w:pPr>
        <w:pStyle w:val="ListParagraph"/>
        <w:numPr>
          <w:ilvl w:val="0"/>
          <w:numId w:val="16"/>
        </w:numPr>
        <w:rPr>
          <w:sz w:val="22"/>
          <w:szCs w:val="22"/>
        </w:rPr>
      </w:pPr>
      <w:r w:rsidRPr="00584381">
        <w:rPr>
          <w:sz w:val="22"/>
          <w:szCs w:val="22"/>
        </w:rPr>
        <w:t>Provide a roadmap for monitoring and evaluating progress.</w:t>
      </w:r>
    </w:p>
    <w:p w:rsidR="004E042B" w:rsidRPr="00584381" w:rsidRDefault="004E042B" w:rsidP="00584381">
      <w:pPr>
        <w:pStyle w:val="ListParagraph"/>
        <w:rPr>
          <w:sz w:val="22"/>
          <w:szCs w:val="22"/>
        </w:rPr>
      </w:pPr>
    </w:p>
    <w:p w:rsidR="004E042B" w:rsidRPr="00584381" w:rsidRDefault="004E042B" w:rsidP="00584381">
      <w:pPr>
        <w:pStyle w:val="ListParagraph"/>
        <w:numPr>
          <w:ilvl w:val="0"/>
          <w:numId w:val="1"/>
        </w:numPr>
        <w:rPr>
          <w:b/>
          <w:sz w:val="22"/>
          <w:szCs w:val="22"/>
        </w:rPr>
      </w:pPr>
      <w:r w:rsidRPr="00584381">
        <w:rPr>
          <w:sz w:val="22"/>
          <w:szCs w:val="22"/>
        </w:rPr>
        <w:t xml:space="preserve"> </w:t>
      </w:r>
      <w:r w:rsidRPr="0002431C">
        <w:rPr>
          <w:b/>
          <w:sz w:val="22"/>
          <w:szCs w:val="22"/>
        </w:rPr>
        <w:t xml:space="preserve">Timeline </w:t>
      </w:r>
      <w:r w:rsidR="0002431C" w:rsidRPr="0002431C">
        <w:rPr>
          <w:sz w:val="22"/>
          <w:szCs w:val="22"/>
        </w:rPr>
        <w:t>– 3-4 months</w:t>
      </w:r>
    </w:p>
    <w:p w:rsidR="004E042B" w:rsidRPr="0002431C" w:rsidRDefault="004E042B" w:rsidP="00584381">
      <w:pPr>
        <w:pStyle w:val="ListParagraph"/>
        <w:rPr>
          <w:b/>
          <w:sz w:val="22"/>
          <w:szCs w:val="22"/>
        </w:rPr>
      </w:pPr>
    </w:p>
    <w:p w:rsidR="004E042B" w:rsidRPr="00584381" w:rsidRDefault="004E042B" w:rsidP="00584381">
      <w:pPr>
        <w:pStyle w:val="ListParagraph"/>
        <w:numPr>
          <w:ilvl w:val="0"/>
          <w:numId w:val="17"/>
        </w:numPr>
        <w:rPr>
          <w:sz w:val="22"/>
          <w:szCs w:val="22"/>
        </w:rPr>
      </w:pPr>
      <w:r w:rsidRPr="00584381">
        <w:rPr>
          <w:sz w:val="22"/>
          <w:szCs w:val="22"/>
        </w:rPr>
        <w:t>Tender s</w:t>
      </w:r>
      <w:r w:rsidR="0002431C">
        <w:rPr>
          <w:sz w:val="22"/>
          <w:szCs w:val="22"/>
        </w:rPr>
        <w:t xml:space="preserve">ubmission deadline: Friday </w:t>
      </w:r>
      <w:r w:rsidR="004963A8">
        <w:rPr>
          <w:sz w:val="22"/>
          <w:szCs w:val="22"/>
        </w:rPr>
        <w:t>6</w:t>
      </w:r>
      <w:r w:rsidR="004963A8" w:rsidRPr="00584381">
        <w:rPr>
          <w:sz w:val="22"/>
          <w:szCs w:val="22"/>
          <w:vertAlign w:val="superscript"/>
        </w:rPr>
        <w:t>th</w:t>
      </w:r>
      <w:r w:rsidR="004963A8">
        <w:rPr>
          <w:sz w:val="22"/>
          <w:szCs w:val="22"/>
        </w:rPr>
        <w:t xml:space="preserve"> June</w:t>
      </w:r>
    </w:p>
    <w:p w:rsidR="0002431C" w:rsidRDefault="004E042B" w:rsidP="00584381">
      <w:pPr>
        <w:pStyle w:val="ListParagraph"/>
        <w:numPr>
          <w:ilvl w:val="0"/>
          <w:numId w:val="17"/>
        </w:numPr>
        <w:rPr>
          <w:sz w:val="22"/>
          <w:szCs w:val="22"/>
        </w:rPr>
      </w:pPr>
      <w:r w:rsidRPr="00584381">
        <w:rPr>
          <w:sz w:val="22"/>
          <w:szCs w:val="22"/>
        </w:rPr>
        <w:t xml:space="preserve">Interviews/presentations (if required): </w:t>
      </w:r>
      <w:r w:rsidR="0002431C">
        <w:rPr>
          <w:sz w:val="22"/>
          <w:szCs w:val="22"/>
        </w:rPr>
        <w:t xml:space="preserve">Friday </w:t>
      </w:r>
      <w:r w:rsidR="004963A8">
        <w:rPr>
          <w:sz w:val="22"/>
          <w:szCs w:val="22"/>
        </w:rPr>
        <w:t>13</w:t>
      </w:r>
      <w:r w:rsidR="0002431C" w:rsidRPr="00584381">
        <w:rPr>
          <w:sz w:val="22"/>
          <w:szCs w:val="22"/>
          <w:vertAlign w:val="superscript"/>
        </w:rPr>
        <w:t>th</w:t>
      </w:r>
      <w:r w:rsidR="0002431C">
        <w:rPr>
          <w:sz w:val="22"/>
          <w:szCs w:val="22"/>
        </w:rPr>
        <w:t xml:space="preserve"> of June</w:t>
      </w:r>
    </w:p>
    <w:p w:rsidR="004E042B" w:rsidRPr="00584381" w:rsidRDefault="0002431C" w:rsidP="00584381">
      <w:pPr>
        <w:pStyle w:val="ListParagraph"/>
        <w:numPr>
          <w:ilvl w:val="0"/>
          <w:numId w:val="17"/>
        </w:numPr>
        <w:rPr>
          <w:sz w:val="22"/>
          <w:szCs w:val="22"/>
        </w:rPr>
      </w:pPr>
      <w:r>
        <w:rPr>
          <w:sz w:val="22"/>
          <w:szCs w:val="22"/>
        </w:rPr>
        <w:t>Project start: July 2025</w:t>
      </w:r>
    </w:p>
    <w:p w:rsidR="004E042B" w:rsidRPr="00584381" w:rsidRDefault="004E042B" w:rsidP="00584381">
      <w:pPr>
        <w:pStyle w:val="ListParagraph"/>
        <w:numPr>
          <w:ilvl w:val="0"/>
          <w:numId w:val="17"/>
        </w:numPr>
        <w:rPr>
          <w:sz w:val="22"/>
          <w:szCs w:val="22"/>
        </w:rPr>
      </w:pPr>
      <w:r w:rsidRPr="00584381">
        <w:rPr>
          <w:sz w:val="22"/>
          <w:szCs w:val="22"/>
        </w:rPr>
        <w:t>Draft plan delivered:</w:t>
      </w:r>
      <w:r w:rsidR="0002431C">
        <w:rPr>
          <w:sz w:val="22"/>
          <w:szCs w:val="22"/>
        </w:rPr>
        <w:t xml:space="preserve"> October 2025</w:t>
      </w:r>
    </w:p>
    <w:p w:rsidR="00B52439" w:rsidRPr="00584381" w:rsidRDefault="004E042B" w:rsidP="00584381">
      <w:pPr>
        <w:pStyle w:val="ListParagraph"/>
        <w:numPr>
          <w:ilvl w:val="0"/>
          <w:numId w:val="17"/>
        </w:numPr>
        <w:rPr>
          <w:sz w:val="22"/>
          <w:szCs w:val="22"/>
        </w:rPr>
      </w:pPr>
      <w:r w:rsidRPr="00584381">
        <w:rPr>
          <w:sz w:val="22"/>
          <w:szCs w:val="22"/>
        </w:rPr>
        <w:t>Final plan delivered:</w:t>
      </w:r>
      <w:r w:rsidR="0002431C">
        <w:rPr>
          <w:sz w:val="22"/>
          <w:szCs w:val="22"/>
        </w:rPr>
        <w:t xml:space="preserve"> November 2025</w:t>
      </w:r>
    </w:p>
    <w:p w:rsidR="00B52439" w:rsidRPr="009C56C2" w:rsidRDefault="00B52439" w:rsidP="00B52439">
      <w:pPr>
        <w:pStyle w:val="NoSpacing"/>
        <w:ind w:left="720"/>
        <w:rPr>
          <w:rFonts w:cstheme="minorHAnsi"/>
          <w:sz w:val="22"/>
          <w:szCs w:val="22"/>
        </w:rPr>
      </w:pPr>
    </w:p>
    <w:p w:rsidR="00B52439" w:rsidRDefault="00B52439" w:rsidP="00584381">
      <w:pPr>
        <w:pStyle w:val="ListParagraph"/>
        <w:numPr>
          <w:ilvl w:val="0"/>
          <w:numId w:val="1"/>
        </w:numPr>
        <w:rPr>
          <w:b/>
          <w:sz w:val="22"/>
          <w:szCs w:val="22"/>
        </w:rPr>
      </w:pPr>
      <w:r w:rsidRPr="00584381">
        <w:rPr>
          <w:b/>
          <w:sz w:val="22"/>
          <w:szCs w:val="22"/>
        </w:rPr>
        <w:t>Required Experience and Skills</w:t>
      </w:r>
    </w:p>
    <w:p w:rsidR="00B52439" w:rsidRPr="00584381" w:rsidRDefault="00B52439" w:rsidP="00584381">
      <w:pPr>
        <w:pStyle w:val="ListParagraph"/>
        <w:rPr>
          <w:b/>
          <w:sz w:val="22"/>
          <w:szCs w:val="22"/>
        </w:rPr>
      </w:pPr>
    </w:p>
    <w:p w:rsidR="00B52439" w:rsidRPr="00584381" w:rsidRDefault="00B52439" w:rsidP="00584381">
      <w:pPr>
        <w:pStyle w:val="ListParagraph"/>
        <w:numPr>
          <w:ilvl w:val="0"/>
          <w:numId w:val="18"/>
        </w:numPr>
        <w:rPr>
          <w:sz w:val="22"/>
          <w:szCs w:val="22"/>
        </w:rPr>
      </w:pPr>
      <w:r w:rsidRPr="00584381">
        <w:rPr>
          <w:sz w:val="22"/>
          <w:szCs w:val="22"/>
        </w:rPr>
        <w:t>Demonstrated experience in strategic planning for not-for-profits, preferably in the health, social care, or community sectors.</w:t>
      </w:r>
    </w:p>
    <w:p w:rsidR="00B52439" w:rsidRPr="00584381" w:rsidRDefault="00B52439" w:rsidP="00584381">
      <w:pPr>
        <w:pStyle w:val="ListParagraph"/>
        <w:numPr>
          <w:ilvl w:val="0"/>
          <w:numId w:val="18"/>
        </w:numPr>
        <w:rPr>
          <w:sz w:val="22"/>
          <w:szCs w:val="22"/>
        </w:rPr>
      </w:pPr>
      <w:r w:rsidRPr="00584381">
        <w:rPr>
          <w:sz w:val="22"/>
          <w:szCs w:val="22"/>
        </w:rPr>
        <w:t>Strong facilitation and stakeholder engagement skills.</w:t>
      </w:r>
    </w:p>
    <w:p w:rsidR="00B52439" w:rsidRPr="00584381" w:rsidRDefault="00B52439" w:rsidP="00584381">
      <w:pPr>
        <w:pStyle w:val="ListParagraph"/>
        <w:numPr>
          <w:ilvl w:val="0"/>
          <w:numId w:val="18"/>
        </w:numPr>
        <w:rPr>
          <w:sz w:val="22"/>
          <w:szCs w:val="22"/>
        </w:rPr>
      </w:pPr>
      <w:r w:rsidRPr="00584381">
        <w:rPr>
          <w:sz w:val="22"/>
          <w:szCs w:val="22"/>
        </w:rPr>
        <w:t>Understanding of the Irish not-for-profit environment.</w:t>
      </w:r>
    </w:p>
    <w:p w:rsidR="00B52439" w:rsidRDefault="00B52439" w:rsidP="00584381">
      <w:pPr>
        <w:pStyle w:val="ListParagraph"/>
        <w:numPr>
          <w:ilvl w:val="0"/>
          <w:numId w:val="18"/>
        </w:numPr>
        <w:rPr>
          <w:sz w:val="22"/>
          <w:szCs w:val="22"/>
        </w:rPr>
      </w:pPr>
      <w:r w:rsidRPr="00584381">
        <w:rPr>
          <w:sz w:val="22"/>
          <w:szCs w:val="22"/>
        </w:rPr>
        <w:t>Excellent communication and report-writing skills.</w:t>
      </w:r>
    </w:p>
    <w:p w:rsidR="00B52439" w:rsidRPr="00584381" w:rsidRDefault="00B52439" w:rsidP="00584381">
      <w:pPr>
        <w:rPr>
          <w:sz w:val="22"/>
          <w:szCs w:val="22"/>
        </w:rPr>
      </w:pPr>
    </w:p>
    <w:p w:rsidR="00B52439" w:rsidRPr="00584381" w:rsidRDefault="00B52439" w:rsidP="00584381">
      <w:pPr>
        <w:pStyle w:val="ListParagraph"/>
        <w:rPr>
          <w:sz w:val="22"/>
          <w:szCs w:val="22"/>
        </w:rPr>
      </w:pPr>
    </w:p>
    <w:p w:rsidR="00B52439" w:rsidRPr="00584381" w:rsidRDefault="00B52439" w:rsidP="00584381">
      <w:pPr>
        <w:pStyle w:val="ListParagraph"/>
        <w:numPr>
          <w:ilvl w:val="0"/>
          <w:numId w:val="1"/>
        </w:numPr>
        <w:rPr>
          <w:sz w:val="22"/>
          <w:szCs w:val="22"/>
        </w:rPr>
      </w:pPr>
      <w:r w:rsidRPr="00584381">
        <w:rPr>
          <w:b/>
        </w:rPr>
        <w:t>Proposal Submission Guidelines</w:t>
      </w:r>
    </w:p>
    <w:p w:rsidR="00B52439" w:rsidRPr="00584381" w:rsidRDefault="00B52439" w:rsidP="00584381">
      <w:pPr>
        <w:pStyle w:val="ListParagraph"/>
        <w:rPr>
          <w:sz w:val="22"/>
          <w:szCs w:val="22"/>
        </w:rPr>
      </w:pPr>
    </w:p>
    <w:p w:rsidR="00B52439" w:rsidRPr="0002431C" w:rsidRDefault="00B52439" w:rsidP="00584381">
      <w:pPr>
        <w:pStyle w:val="ListParagraph"/>
        <w:rPr>
          <w:sz w:val="22"/>
          <w:szCs w:val="22"/>
        </w:rPr>
      </w:pPr>
      <w:r w:rsidRPr="0002431C">
        <w:rPr>
          <w:sz w:val="22"/>
          <w:szCs w:val="22"/>
        </w:rPr>
        <w:t>Please include the following in your submission:</w:t>
      </w:r>
    </w:p>
    <w:p w:rsidR="00B52439" w:rsidRPr="00584381" w:rsidRDefault="00B52439" w:rsidP="00584381">
      <w:pPr>
        <w:pStyle w:val="ListParagraph"/>
        <w:numPr>
          <w:ilvl w:val="0"/>
          <w:numId w:val="20"/>
        </w:numPr>
        <w:rPr>
          <w:sz w:val="22"/>
          <w:szCs w:val="22"/>
        </w:rPr>
      </w:pPr>
      <w:r w:rsidRPr="00584381">
        <w:rPr>
          <w:sz w:val="22"/>
          <w:szCs w:val="22"/>
        </w:rPr>
        <w:t>Company/consultant overview and relevant experience.</w:t>
      </w:r>
    </w:p>
    <w:p w:rsidR="00B52439" w:rsidRPr="00584381" w:rsidRDefault="00B52439" w:rsidP="00584381">
      <w:pPr>
        <w:pStyle w:val="ListParagraph"/>
        <w:numPr>
          <w:ilvl w:val="0"/>
          <w:numId w:val="20"/>
        </w:numPr>
        <w:rPr>
          <w:sz w:val="22"/>
          <w:szCs w:val="22"/>
        </w:rPr>
      </w:pPr>
      <w:r w:rsidRPr="00584381">
        <w:rPr>
          <w:sz w:val="22"/>
          <w:szCs w:val="22"/>
        </w:rPr>
        <w:t>Approach and methodology for the project.</w:t>
      </w:r>
    </w:p>
    <w:p w:rsidR="00B52439" w:rsidRDefault="00B52439" w:rsidP="00584381">
      <w:pPr>
        <w:pStyle w:val="ListParagraph"/>
        <w:numPr>
          <w:ilvl w:val="0"/>
          <w:numId w:val="20"/>
        </w:numPr>
      </w:pPr>
      <w:r w:rsidRPr="00584381">
        <w:rPr>
          <w:sz w:val="22"/>
          <w:szCs w:val="22"/>
        </w:rPr>
        <w:t>Project timeline and key milestones</w:t>
      </w:r>
      <w:r w:rsidRPr="009C56C2">
        <w:t>.</w:t>
      </w:r>
      <w:r>
        <w:t xml:space="preserve"> </w:t>
      </w:r>
    </w:p>
    <w:p w:rsidR="00DE05C1" w:rsidRPr="00584381" w:rsidRDefault="00B52439" w:rsidP="00584381">
      <w:pPr>
        <w:pStyle w:val="ListParagraph"/>
        <w:numPr>
          <w:ilvl w:val="0"/>
          <w:numId w:val="23"/>
        </w:numPr>
      </w:pPr>
      <w:r>
        <w:rPr>
          <w:sz w:val="22"/>
          <w:szCs w:val="22"/>
        </w:rPr>
        <w:lastRenderedPageBreak/>
        <w:t>Detailed cost estimate and breakdown</w:t>
      </w:r>
      <w:r w:rsidR="00DE05C1">
        <w:rPr>
          <w:sz w:val="22"/>
          <w:szCs w:val="22"/>
        </w:rPr>
        <w:t>.</w:t>
      </w:r>
    </w:p>
    <w:p w:rsidR="00DE05C1" w:rsidRPr="00DE05C1" w:rsidRDefault="004E042B" w:rsidP="00584381">
      <w:pPr>
        <w:pStyle w:val="ListParagraph"/>
        <w:numPr>
          <w:ilvl w:val="0"/>
          <w:numId w:val="23"/>
        </w:numPr>
      </w:pPr>
      <w:r w:rsidRPr="00DE05C1">
        <w:rPr>
          <w:rFonts w:cstheme="minorHAnsi"/>
          <w:sz w:val="22"/>
          <w:szCs w:val="22"/>
        </w:rPr>
        <w:t>References or case studies from similar projects.</w:t>
      </w:r>
    </w:p>
    <w:p w:rsidR="00497F22" w:rsidRDefault="004E042B" w:rsidP="00584381">
      <w:pPr>
        <w:pStyle w:val="ListParagraph"/>
      </w:pPr>
      <w:r w:rsidRPr="00584381">
        <w:rPr>
          <w:sz w:val="22"/>
          <w:szCs w:val="22"/>
        </w:rPr>
        <w:t>Any potential conflicts of interest.</w:t>
      </w:r>
    </w:p>
    <w:p w:rsidR="00C24AD9" w:rsidRPr="00584381" w:rsidRDefault="00C24AD9" w:rsidP="00584381"/>
    <w:p w:rsidR="00C24AD9" w:rsidRPr="00584381" w:rsidRDefault="00C24AD9" w:rsidP="00C24AD9">
      <w:pPr>
        <w:pStyle w:val="ListParagraph"/>
        <w:ind w:left="1800"/>
        <w:rPr>
          <w:sz w:val="22"/>
          <w:szCs w:val="22"/>
        </w:rPr>
      </w:pPr>
    </w:p>
    <w:p w:rsidR="00023632" w:rsidRPr="002B0527" w:rsidRDefault="00C24AD9" w:rsidP="00C24AD9">
      <w:pPr>
        <w:pStyle w:val="ListParagraph"/>
        <w:numPr>
          <w:ilvl w:val="1"/>
          <w:numId w:val="1"/>
        </w:numPr>
        <w:rPr>
          <w:sz w:val="22"/>
          <w:szCs w:val="22"/>
        </w:rPr>
      </w:pPr>
      <w:r w:rsidRPr="002B0527">
        <w:rPr>
          <w:sz w:val="22"/>
          <w:szCs w:val="22"/>
        </w:rPr>
        <w:t>All queries regarding any element of the proposal submission should be addressed in writing and sent by email tr</w:t>
      </w:r>
      <w:r w:rsidR="00390F04" w:rsidRPr="002B0527">
        <w:rPr>
          <w:sz w:val="22"/>
          <w:szCs w:val="22"/>
        </w:rPr>
        <w:t xml:space="preserve">ansmission </w:t>
      </w:r>
      <w:r w:rsidR="00385ACA" w:rsidRPr="002B0527">
        <w:rPr>
          <w:sz w:val="22"/>
          <w:szCs w:val="22"/>
        </w:rPr>
        <w:t>to:</w:t>
      </w:r>
      <w:r w:rsidRPr="002B0527">
        <w:rPr>
          <w:sz w:val="22"/>
          <w:szCs w:val="22"/>
        </w:rPr>
        <w:t xml:space="preserve"> </w:t>
      </w:r>
      <w:r w:rsidR="002B0527">
        <w:rPr>
          <w:sz w:val="22"/>
          <w:szCs w:val="22"/>
        </w:rPr>
        <w:t>Sarah Boyle at sboyle@vitahouse.org</w:t>
      </w:r>
      <w:r w:rsidR="00390F04" w:rsidRPr="002B0527">
        <w:rPr>
          <w:sz w:val="22"/>
          <w:szCs w:val="22"/>
        </w:rPr>
        <w:t xml:space="preserve"> </w:t>
      </w:r>
      <w:r w:rsidR="00390F04" w:rsidRPr="00584381">
        <w:rPr>
          <w:sz w:val="22"/>
          <w:szCs w:val="22"/>
        </w:rPr>
        <w:t xml:space="preserve">by Friday </w:t>
      </w:r>
      <w:r w:rsidR="0002431C">
        <w:rPr>
          <w:sz w:val="22"/>
          <w:szCs w:val="22"/>
        </w:rPr>
        <w:t>30</w:t>
      </w:r>
      <w:r w:rsidR="002B0527" w:rsidRPr="00584381">
        <w:rPr>
          <w:sz w:val="22"/>
          <w:szCs w:val="22"/>
          <w:vertAlign w:val="superscript"/>
        </w:rPr>
        <w:t>th</w:t>
      </w:r>
      <w:r w:rsidR="002B0527" w:rsidRPr="00584381">
        <w:rPr>
          <w:sz w:val="22"/>
          <w:szCs w:val="22"/>
        </w:rPr>
        <w:t xml:space="preserve"> </w:t>
      </w:r>
      <w:r w:rsidR="0002431C">
        <w:rPr>
          <w:sz w:val="22"/>
          <w:szCs w:val="22"/>
        </w:rPr>
        <w:t>May</w:t>
      </w:r>
      <w:r w:rsidR="00390F04" w:rsidRPr="002B0527">
        <w:rPr>
          <w:sz w:val="22"/>
          <w:szCs w:val="22"/>
        </w:rPr>
        <w:t xml:space="preserve"> (</w:t>
      </w:r>
      <w:r w:rsidR="00390F04" w:rsidRPr="002B0527">
        <w:rPr>
          <w:i/>
          <w:sz w:val="22"/>
          <w:szCs w:val="22"/>
        </w:rPr>
        <w:t>Deadline for receipt of written enquiries</w:t>
      </w:r>
      <w:r w:rsidR="00390F04" w:rsidRPr="002B0527">
        <w:rPr>
          <w:sz w:val="22"/>
          <w:szCs w:val="22"/>
        </w:rPr>
        <w:t>). It is the tenderers responsibility to ensure that all queries are received by Vita House by this deadline</w:t>
      </w:r>
      <w:r w:rsidR="00CC388F" w:rsidRPr="002B0527">
        <w:rPr>
          <w:sz w:val="22"/>
          <w:szCs w:val="22"/>
        </w:rPr>
        <w:t>.</w:t>
      </w:r>
    </w:p>
    <w:p w:rsidR="00CC388F" w:rsidRDefault="00CC388F" w:rsidP="00C24AD9">
      <w:pPr>
        <w:pStyle w:val="ListParagraph"/>
        <w:numPr>
          <w:ilvl w:val="1"/>
          <w:numId w:val="1"/>
        </w:numPr>
        <w:rPr>
          <w:sz w:val="22"/>
          <w:szCs w:val="22"/>
        </w:rPr>
      </w:pPr>
      <w:r>
        <w:rPr>
          <w:sz w:val="22"/>
          <w:szCs w:val="22"/>
        </w:rPr>
        <w:t>Queries should be in question format</w:t>
      </w:r>
      <w:r w:rsidRPr="002B0527">
        <w:rPr>
          <w:sz w:val="22"/>
          <w:szCs w:val="22"/>
        </w:rPr>
        <w:t xml:space="preserve">.  </w:t>
      </w:r>
      <w:r w:rsidRPr="00584381">
        <w:rPr>
          <w:sz w:val="22"/>
          <w:szCs w:val="22"/>
        </w:rPr>
        <w:t>All such queries will be responded to in writing or by email, and the queries and responses to them will be forwarded to all tenderers in order to ensure that no party has an unfair advantage over any other.</w:t>
      </w:r>
      <w:r>
        <w:rPr>
          <w:sz w:val="22"/>
          <w:szCs w:val="22"/>
        </w:rPr>
        <w:t xml:space="preserve">  The details of the person making the query will not be disclosed when circulating a response to a query.</w:t>
      </w:r>
    </w:p>
    <w:p w:rsidR="002976F9" w:rsidRPr="00AE52D9" w:rsidRDefault="00CC388F" w:rsidP="00AE52D9">
      <w:pPr>
        <w:pStyle w:val="ListParagraph"/>
        <w:numPr>
          <w:ilvl w:val="1"/>
          <w:numId w:val="1"/>
        </w:numPr>
        <w:rPr>
          <w:sz w:val="22"/>
          <w:szCs w:val="22"/>
        </w:rPr>
      </w:pPr>
      <w:r>
        <w:rPr>
          <w:sz w:val="22"/>
          <w:szCs w:val="22"/>
        </w:rPr>
        <w:t xml:space="preserve">Tenders must be submitted by soft copy via email.  Correspondence should be sent to the email address below </w:t>
      </w:r>
      <w:r w:rsidRPr="00584381">
        <w:rPr>
          <w:b/>
          <w:sz w:val="22"/>
          <w:szCs w:val="22"/>
        </w:rPr>
        <w:t xml:space="preserve">not later than 5:00pm on Friday </w:t>
      </w:r>
      <w:r w:rsidR="0002431C">
        <w:rPr>
          <w:b/>
          <w:sz w:val="22"/>
          <w:szCs w:val="22"/>
        </w:rPr>
        <w:t>30</w:t>
      </w:r>
      <w:r w:rsidR="008F1DD9" w:rsidRPr="00584381">
        <w:rPr>
          <w:b/>
          <w:sz w:val="22"/>
          <w:szCs w:val="22"/>
          <w:vertAlign w:val="superscript"/>
        </w:rPr>
        <w:t>t</w:t>
      </w:r>
      <w:r w:rsidR="002B0527" w:rsidRPr="00584381">
        <w:rPr>
          <w:b/>
          <w:sz w:val="22"/>
          <w:szCs w:val="22"/>
          <w:vertAlign w:val="superscript"/>
        </w:rPr>
        <w:t>h</w:t>
      </w:r>
      <w:r w:rsidR="002B0527" w:rsidRPr="00584381">
        <w:rPr>
          <w:b/>
          <w:sz w:val="22"/>
          <w:szCs w:val="22"/>
        </w:rPr>
        <w:t xml:space="preserve"> </w:t>
      </w:r>
      <w:r w:rsidR="00DE05C1">
        <w:rPr>
          <w:b/>
          <w:sz w:val="22"/>
          <w:szCs w:val="22"/>
        </w:rPr>
        <w:t>May</w:t>
      </w:r>
      <w:r w:rsidR="008F1DD9" w:rsidRPr="00584381">
        <w:rPr>
          <w:b/>
          <w:sz w:val="22"/>
          <w:szCs w:val="22"/>
        </w:rPr>
        <w:t xml:space="preserve"> 2025</w:t>
      </w:r>
      <w:r w:rsidRPr="002B0527">
        <w:rPr>
          <w:sz w:val="22"/>
          <w:szCs w:val="22"/>
        </w:rPr>
        <w:t xml:space="preserve"> </w:t>
      </w:r>
      <w:r w:rsidRPr="002B0527">
        <w:rPr>
          <w:i/>
          <w:sz w:val="22"/>
          <w:szCs w:val="22"/>
        </w:rPr>
        <w:t>(</w:t>
      </w:r>
      <w:r w:rsidRPr="00CC388F">
        <w:rPr>
          <w:i/>
          <w:sz w:val="22"/>
          <w:szCs w:val="22"/>
        </w:rPr>
        <w:t>Closing date for receipt of tenders / responses)</w:t>
      </w:r>
      <w:r>
        <w:rPr>
          <w:sz w:val="22"/>
          <w:szCs w:val="22"/>
        </w:rPr>
        <w:t>.</w:t>
      </w:r>
    </w:p>
    <w:p w:rsidR="002976F9" w:rsidRPr="002976F9" w:rsidRDefault="002976F9" w:rsidP="002976F9">
      <w:pPr>
        <w:pStyle w:val="ListParagraph"/>
        <w:numPr>
          <w:ilvl w:val="1"/>
          <w:numId w:val="1"/>
        </w:numPr>
        <w:rPr>
          <w:sz w:val="22"/>
          <w:szCs w:val="22"/>
        </w:rPr>
      </w:pPr>
      <w:r w:rsidRPr="002976F9">
        <w:rPr>
          <w:sz w:val="22"/>
          <w:szCs w:val="22"/>
        </w:rPr>
        <w:t>Contact Details</w:t>
      </w:r>
    </w:p>
    <w:tbl>
      <w:tblPr>
        <w:tblpPr w:leftFromText="180" w:rightFromText="180" w:vertAnchor="text" w:horzAnchor="margin" w:tblpXSpec="right" w:tblpY="269"/>
        <w:tblW w:w="7880" w:type="dxa"/>
        <w:tblLook w:val="04A0" w:firstRow="1" w:lastRow="0" w:firstColumn="1" w:lastColumn="0" w:noHBand="0" w:noVBand="1"/>
      </w:tblPr>
      <w:tblGrid>
        <w:gridCol w:w="2560"/>
        <w:gridCol w:w="5320"/>
      </w:tblGrid>
      <w:tr w:rsidR="002515A9" w:rsidRPr="002515A9" w:rsidTr="002515A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Contact Person</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2515A9" w:rsidRPr="002B0527" w:rsidRDefault="002B0527" w:rsidP="002515A9">
            <w:pPr>
              <w:spacing w:after="0" w:line="240" w:lineRule="auto"/>
              <w:rPr>
                <w:rFonts w:ascii="Calibri" w:eastAsia="Times New Roman" w:hAnsi="Calibri" w:cs="Times New Roman"/>
                <w:color w:val="000000"/>
                <w:sz w:val="22"/>
                <w:szCs w:val="22"/>
                <w:lang w:eastAsia="en-IE"/>
              </w:rPr>
            </w:pPr>
            <w:r>
              <w:rPr>
                <w:rFonts w:ascii="Calibri" w:eastAsia="Times New Roman" w:hAnsi="Calibri" w:cs="Times New Roman"/>
                <w:color w:val="000000"/>
                <w:sz w:val="22"/>
                <w:szCs w:val="22"/>
                <w:lang w:eastAsia="en-IE"/>
              </w:rPr>
              <w:t>Sarah Boyle</w:t>
            </w:r>
          </w:p>
        </w:tc>
      </w:tr>
      <w:tr w:rsidR="002515A9" w:rsidRPr="002515A9" w:rsidTr="002515A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Contact e-mail</w:t>
            </w:r>
          </w:p>
        </w:tc>
        <w:tc>
          <w:tcPr>
            <w:tcW w:w="5320" w:type="dxa"/>
            <w:tcBorders>
              <w:top w:val="nil"/>
              <w:left w:val="nil"/>
              <w:bottom w:val="single" w:sz="4" w:space="0" w:color="auto"/>
              <w:right w:val="single" w:sz="4" w:space="0" w:color="auto"/>
            </w:tcBorders>
            <w:shd w:val="clear" w:color="auto" w:fill="auto"/>
            <w:noWrap/>
            <w:vAlign w:val="bottom"/>
            <w:hideMark/>
          </w:tcPr>
          <w:p w:rsidR="002515A9" w:rsidRPr="002B0527" w:rsidRDefault="00310357" w:rsidP="004E042B">
            <w:pPr>
              <w:spacing w:after="0" w:line="240" w:lineRule="auto"/>
              <w:rPr>
                <w:rFonts w:ascii="Calibri" w:eastAsia="Times New Roman" w:hAnsi="Calibri" w:cs="Times New Roman"/>
                <w:color w:val="0563C1"/>
                <w:sz w:val="22"/>
                <w:szCs w:val="22"/>
                <w:u w:val="single"/>
                <w:lang w:eastAsia="en-IE"/>
              </w:rPr>
            </w:pPr>
            <w:hyperlink r:id="rId7" w:history="1">
              <w:r w:rsidR="002B0527">
                <w:rPr>
                  <w:rFonts w:ascii="Calibri" w:eastAsia="Times New Roman" w:hAnsi="Calibri" w:cs="Times New Roman"/>
                  <w:color w:val="0563C1"/>
                  <w:sz w:val="22"/>
                  <w:szCs w:val="22"/>
                  <w:u w:val="single"/>
                  <w:lang w:eastAsia="en-IE"/>
                </w:rPr>
                <w:t>sboyle@vitahouse.org</w:t>
              </w:r>
            </w:hyperlink>
          </w:p>
        </w:tc>
      </w:tr>
      <w:tr w:rsidR="002515A9" w:rsidRPr="002515A9" w:rsidTr="002515A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Organisation</w:t>
            </w:r>
          </w:p>
        </w:tc>
        <w:tc>
          <w:tcPr>
            <w:tcW w:w="5320" w:type="dxa"/>
            <w:tcBorders>
              <w:top w:val="nil"/>
              <w:left w:val="nil"/>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color w:val="000000"/>
                <w:sz w:val="22"/>
                <w:szCs w:val="22"/>
                <w:lang w:eastAsia="en-IE"/>
              </w:rPr>
            </w:pPr>
            <w:r w:rsidRPr="002515A9">
              <w:rPr>
                <w:rFonts w:ascii="Calibri" w:eastAsia="Times New Roman" w:hAnsi="Calibri" w:cs="Times New Roman"/>
                <w:color w:val="000000"/>
                <w:sz w:val="22"/>
                <w:szCs w:val="22"/>
                <w:lang w:eastAsia="en-IE"/>
              </w:rPr>
              <w:t>Vita House Services CLG</w:t>
            </w:r>
          </w:p>
        </w:tc>
      </w:tr>
      <w:tr w:rsidR="002515A9" w:rsidRPr="002515A9" w:rsidTr="002515A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Address</w:t>
            </w:r>
          </w:p>
        </w:tc>
        <w:tc>
          <w:tcPr>
            <w:tcW w:w="5320" w:type="dxa"/>
            <w:tcBorders>
              <w:top w:val="nil"/>
              <w:left w:val="nil"/>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color w:val="000000"/>
                <w:sz w:val="22"/>
                <w:szCs w:val="22"/>
                <w:lang w:eastAsia="en-IE"/>
              </w:rPr>
            </w:pPr>
            <w:r w:rsidRPr="002515A9">
              <w:rPr>
                <w:rFonts w:ascii="Calibri" w:eastAsia="Times New Roman" w:hAnsi="Calibri" w:cs="Times New Roman"/>
                <w:color w:val="000000"/>
                <w:sz w:val="22"/>
                <w:szCs w:val="22"/>
                <w:lang w:eastAsia="en-IE"/>
              </w:rPr>
              <w:t xml:space="preserve">Abbey Street, </w:t>
            </w:r>
            <w:proofErr w:type="spellStart"/>
            <w:r w:rsidRPr="002515A9">
              <w:rPr>
                <w:rFonts w:ascii="Calibri" w:eastAsia="Times New Roman" w:hAnsi="Calibri" w:cs="Times New Roman"/>
                <w:color w:val="000000"/>
                <w:sz w:val="22"/>
                <w:szCs w:val="22"/>
                <w:lang w:eastAsia="en-IE"/>
              </w:rPr>
              <w:t>Ballypheasan</w:t>
            </w:r>
            <w:proofErr w:type="spellEnd"/>
            <w:r w:rsidRPr="002515A9">
              <w:rPr>
                <w:rFonts w:ascii="Calibri" w:eastAsia="Times New Roman" w:hAnsi="Calibri" w:cs="Times New Roman"/>
                <w:color w:val="000000"/>
                <w:sz w:val="22"/>
                <w:szCs w:val="22"/>
                <w:lang w:eastAsia="en-IE"/>
              </w:rPr>
              <w:t>, Co. Roscommon. F42 N677</w:t>
            </w:r>
          </w:p>
        </w:tc>
      </w:tr>
      <w:tr w:rsidR="002515A9" w:rsidRPr="002515A9" w:rsidTr="002515A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Website</w:t>
            </w:r>
          </w:p>
        </w:tc>
        <w:tc>
          <w:tcPr>
            <w:tcW w:w="5320" w:type="dxa"/>
            <w:tcBorders>
              <w:top w:val="nil"/>
              <w:left w:val="nil"/>
              <w:bottom w:val="single" w:sz="4" w:space="0" w:color="auto"/>
              <w:right w:val="single" w:sz="4" w:space="0" w:color="auto"/>
            </w:tcBorders>
            <w:shd w:val="clear" w:color="auto" w:fill="auto"/>
            <w:noWrap/>
            <w:vAlign w:val="bottom"/>
            <w:hideMark/>
          </w:tcPr>
          <w:p w:rsidR="002515A9" w:rsidRPr="002515A9" w:rsidRDefault="00310357" w:rsidP="002515A9">
            <w:pPr>
              <w:spacing w:after="0" w:line="240" w:lineRule="auto"/>
              <w:rPr>
                <w:rFonts w:ascii="Calibri" w:eastAsia="Times New Roman" w:hAnsi="Calibri" w:cs="Times New Roman"/>
                <w:color w:val="0563C1"/>
                <w:sz w:val="22"/>
                <w:szCs w:val="22"/>
                <w:u w:val="single"/>
                <w:lang w:eastAsia="en-IE"/>
              </w:rPr>
            </w:pPr>
            <w:hyperlink r:id="rId8" w:history="1">
              <w:r w:rsidR="002515A9" w:rsidRPr="002515A9">
                <w:rPr>
                  <w:rFonts w:ascii="Calibri" w:eastAsia="Times New Roman" w:hAnsi="Calibri" w:cs="Times New Roman"/>
                  <w:color w:val="0563C1"/>
                  <w:sz w:val="22"/>
                  <w:szCs w:val="22"/>
                  <w:u w:val="single"/>
                  <w:lang w:eastAsia="en-IE"/>
                </w:rPr>
                <w:t>www.vitahouse.org</w:t>
              </w:r>
            </w:hyperlink>
          </w:p>
        </w:tc>
      </w:tr>
      <w:tr w:rsidR="002515A9" w:rsidRPr="002515A9" w:rsidTr="002515A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b/>
                <w:bCs/>
                <w:color w:val="000000"/>
                <w:sz w:val="22"/>
                <w:szCs w:val="22"/>
                <w:lang w:eastAsia="en-IE"/>
              </w:rPr>
            </w:pPr>
            <w:r w:rsidRPr="002515A9">
              <w:rPr>
                <w:rFonts w:ascii="Calibri" w:eastAsia="Times New Roman" w:hAnsi="Calibri" w:cs="Times New Roman"/>
                <w:b/>
                <w:bCs/>
                <w:color w:val="000000"/>
                <w:sz w:val="22"/>
                <w:szCs w:val="22"/>
                <w:lang w:eastAsia="en-IE"/>
              </w:rPr>
              <w:t>Phone</w:t>
            </w:r>
          </w:p>
        </w:tc>
        <w:tc>
          <w:tcPr>
            <w:tcW w:w="5320" w:type="dxa"/>
            <w:tcBorders>
              <w:top w:val="nil"/>
              <w:left w:val="nil"/>
              <w:bottom w:val="single" w:sz="4" w:space="0" w:color="auto"/>
              <w:right w:val="single" w:sz="4" w:space="0" w:color="auto"/>
            </w:tcBorders>
            <w:shd w:val="clear" w:color="auto" w:fill="auto"/>
            <w:noWrap/>
            <w:vAlign w:val="bottom"/>
            <w:hideMark/>
          </w:tcPr>
          <w:p w:rsidR="002515A9" w:rsidRPr="002515A9" w:rsidRDefault="002515A9" w:rsidP="002515A9">
            <w:pPr>
              <w:spacing w:after="0" w:line="240" w:lineRule="auto"/>
              <w:rPr>
                <w:rFonts w:ascii="Calibri" w:eastAsia="Times New Roman" w:hAnsi="Calibri" w:cs="Times New Roman"/>
                <w:color w:val="000000"/>
                <w:sz w:val="22"/>
                <w:szCs w:val="22"/>
                <w:lang w:eastAsia="en-IE"/>
              </w:rPr>
            </w:pPr>
            <w:r w:rsidRPr="002515A9">
              <w:rPr>
                <w:rFonts w:ascii="Calibri" w:eastAsia="Times New Roman" w:hAnsi="Calibri" w:cs="Times New Roman"/>
                <w:color w:val="000000"/>
                <w:sz w:val="22"/>
                <w:szCs w:val="22"/>
                <w:lang w:eastAsia="en-IE"/>
              </w:rPr>
              <w:t>090 66 25898</w:t>
            </w:r>
          </w:p>
        </w:tc>
      </w:tr>
    </w:tbl>
    <w:p w:rsidR="00CC388F" w:rsidRDefault="00CC388F" w:rsidP="002515A9">
      <w:pPr>
        <w:rPr>
          <w:sz w:val="22"/>
          <w:szCs w:val="22"/>
        </w:rPr>
      </w:pPr>
    </w:p>
    <w:p w:rsidR="002515A9" w:rsidRDefault="002515A9" w:rsidP="002515A9">
      <w:pPr>
        <w:rPr>
          <w:sz w:val="22"/>
          <w:szCs w:val="22"/>
        </w:rPr>
      </w:pPr>
    </w:p>
    <w:p w:rsidR="002515A9" w:rsidRDefault="002515A9" w:rsidP="002515A9">
      <w:pPr>
        <w:rPr>
          <w:sz w:val="22"/>
          <w:szCs w:val="22"/>
        </w:rPr>
      </w:pPr>
    </w:p>
    <w:p w:rsidR="002515A9" w:rsidRDefault="002515A9" w:rsidP="002515A9">
      <w:pPr>
        <w:rPr>
          <w:sz w:val="22"/>
          <w:szCs w:val="22"/>
        </w:rPr>
      </w:pPr>
    </w:p>
    <w:p w:rsidR="002515A9" w:rsidRDefault="002515A9" w:rsidP="002515A9">
      <w:pPr>
        <w:rPr>
          <w:sz w:val="22"/>
          <w:szCs w:val="22"/>
        </w:rPr>
      </w:pPr>
    </w:p>
    <w:p w:rsidR="00B52439" w:rsidRDefault="00B52439" w:rsidP="00B52439">
      <w:pPr>
        <w:pStyle w:val="NoSpacing"/>
        <w:rPr>
          <w:rFonts w:cstheme="minorHAnsi"/>
          <w:sz w:val="22"/>
          <w:szCs w:val="22"/>
        </w:rPr>
      </w:pPr>
    </w:p>
    <w:p w:rsidR="00B52439" w:rsidRPr="00584381" w:rsidRDefault="00B52439" w:rsidP="00584381">
      <w:pPr>
        <w:pStyle w:val="ListParagraph"/>
        <w:numPr>
          <w:ilvl w:val="0"/>
          <w:numId w:val="1"/>
        </w:numPr>
        <w:rPr>
          <w:sz w:val="22"/>
          <w:szCs w:val="22"/>
        </w:rPr>
      </w:pPr>
      <w:r w:rsidRPr="00584381">
        <w:rPr>
          <w:b/>
          <w:sz w:val="22"/>
          <w:szCs w:val="22"/>
        </w:rPr>
        <w:t>Evaluation Criteria</w:t>
      </w:r>
    </w:p>
    <w:p w:rsidR="00B52439" w:rsidRPr="008D3574" w:rsidRDefault="00B52439" w:rsidP="00B52439">
      <w:pPr>
        <w:pStyle w:val="ListParagraph"/>
        <w:rPr>
          <w:sz w:val="22"/>
          <w:szCs w:val="22"/>
        </w:rPr>
      </w:pPr>
    </w:p>
    <w:p w:rsidR="00B52439" w:rsidRPr="00584381" w:rsidRDefault="00B52439" w:rsidP="00584381">
      <w:pPr>
        <w:rPr>
          <w:sz w:val="22"/>
          <w:szCs w:val="22"/>
        </w:rPr>
      </w:pPr>
      <w:r w:rsidRPr="00584381">
        <w:rPr>
          <w:sz w:val="22"/>
          <w:szCs w:val="22"/>
        </w:rPr>
        <w:t>Proposals will be evaluated based on:</w:t>
      </w:r>
    </w:p>
    <w:p w:rsidR="00B52439" w:rsidRPr="008D3574" w:rsidRDefault="00B52439" w:rsidP="00B52439">
      <w:pPr>
        <w:pStyle w:val="ListParagraph"/>
        <w:numPr>
          <w:ilvl w:val="0"/>
          <w:numId w:val="21"/>
        </w:numPr>
        <w:rPr>
          <w:sz w:val="22"/>
          <w:szCs w:val="22"/>
        </w:rPr>
      </w:pPr>
      <w:r w:rsidRPr="008D3574">
        <w:rPr>
          <w:sz w:val="22"/>
          <w:szCs w:val="22"/>
        </w:rPr>
        <w:t>Relevant experience and expertise.</w:t>
      </w:r>
    </w:p>
    <w:p w:rsidR="00B52439" w:rsidRPr="008D3574" w:rsidRDefault="00B52439" w:rsidP="00B52439">
      <w:pPr>
        <w:pStyle w:val="ListParagraph"/>
        <w:numPr>
          <w:ilvl w:val="0"/>
          <w:numId w:val="21"/>
        </w:numPr>
        <w:rPr>
          <w:sz w:val="22"/>
          <w:szCs w:val="22"/>
        </w:rPr>
      </w:pPr>
      <w:r w:rsidRPr="008D3574">
        <w:rPr>
          <w:sz w:val="22"/>
          <w:szCs w:val="22"/>
        </w:rPr>
        <w:t>Understanding of project goals and context.</w:t>
      </w:r>
    </w:p>
    <w:p w:rsidR="00B52439" w:rsidRPr="008D3574" w:rsidRDefault="00B52439" w:rsidP="00B52439">
      <w:pPr>
        <w:pStyle w:val="ListParagraph"/>
        <w:numPr>
          <w:ilvl w:val="0"/>
          <w:numId w:val="21"/>
        </w:numPr>
        <w:rPr>
          <w:sz w:val="22"/>
          <w:szCs w:val="22"/>
        </w:rPr>
      </w:pPr>
      <w:r w:rsidRPr="008D3574">
        <w:rPr>
          <w:sz w:val="22"/>
          <w:szCs w:val="22"/>
        </w:rPr>
        <w:t>Quality and feasibility of proposed approach.</w:t>
      </w:r>
    </w:p>
    <w:p w:rsidR="00B52439" w:rsidRPr="008D3574" w:rsidRDefault="00B52439" w:rsidP="00B52439">
      <w:pPr>
        <w:pStyle w:val="ListParagraph"/>
        <w:numPr>
          <w:ilvl w:val="0"/>
          <w:numId w:val="21"/>
        </w:numPr>
        <w:rPr>
          <w:sz w:val="22"/>
          <w:szCs w:val="22"/>
        </w:rPr>
      </w:pPr>
      <w:r w:rsidRPr="008D3574">
        <w:rPr>
          <w:sz w:val="22"/>
          <w:szCs w:val="22"/>
        </w:rPr>
        <w:t>Cost-effectiveness and value for money.</w:t>
      </w:r>
    </w:p>
    <w:p w:rsidR="00B52439" w:rsidRPr="00584381" w:rsidRDefault="00B52439" w:rsidP="00584381">
      <w:pPr>
        <w:pStyle w:val="ListParagraph"/>
        <w:numPr>
          <w:ilvl w:val="0"/>
          <w:numId w:val="26"/>
        </w:numPr>
        <w:rPr>
          <w:sz w:val="22"/>
          <w:szCs w:val="22"/>
        </w:rPr>
      </w:pPr>
      <w:r w:rsidRPr="00584381">
        <w:rPr>
          <w:sz w:val="22"/>
          <w:szCs w:val="22"/>
        </w:rPr>
        <w:t>Alignment with Vita House’s mission and values.</w:t>
      </w:r>
    </w:p>
    <w:p w:rsidR="00B52439" w:rsidRPr="009C56C2" w:rsidRDefault="00B52439" w:rsidP="00B52439">
      <w:pPr>
        <w:pStyle w:val="NoSpacing"/>
        <w:ind w:left="720"/>
        <w:rPr>
          <w:rFonts w:cstheme="minorHAnsi"/>
          <w:sz w:val="22"/>
          <w:szCs w:val="22"/>
        </w:rPr>
      </w:pPr>
    </w:p>
    <w:p w:rsidR="00DE05C1" w:rsidRDefault="00DE05C1" w:rsidP="00B52439">
      <w:pPr>
        <w:pStyle w:val="NoSpacing"/>
        <w:rPr>
          <w:rFonts w:cstheme="minorHAnsi"/>
          <w:sz w:val="22"/>
          <w:szCs w:val="22"/>
        </w:rPr>
      </w:pPr>
    </w:p>
    <w:p w:rsidR="004C10D0" w:rsidRDefault="004C10D0" w:rsidP="004C10D0">
      <w:pPr>
        <w:pStyle w:val="ListParagraph"/>
        <w:rPr>
          <w:sz w:val="22"/>
          <w:szCs w:val="22"/>
        </w:rPr>
      </w:pPr>
    </w:p>
    <w:p w:rsidR="004C10D0" w:rsidRDefault="004C10D0" w:rsidP="00584381">
      <w:pPr>
        <w:pStyle w:val="ListParagraph"/>
        <w:numPr>
          <w:ilvl w:val="1"/>
          <w:numId w:val="1"/>
        </w:numPr>
        <w:rPr>
          <w:sz w:val="22"/>
          <w:szCs w:val="22"/>
        </w:rPr>
      </w:pPr>
      <w:r>
        <w:rPr>
          <w:sz w:val="22"/>
          <w:szCs w:val="22"/>
        </w:rPr>
        <w:t xml:space="preserve">Tenders/responses will be evaluated based on the award criteria detailed </w:t>
      </w:r>
      <w:r w:rsidR="00D36C51">
        <w:rPr>
          <w:sz w:val="22"/>
          <w:szCs w:val="22"/>
        </w:rPr>
        <w:t>below</w:t>
      </w:r>
    </w:p>
    <w:p w:rsidR="004C10D0" w:rsidRDefault="004C10D0" w:rsidP="00584381">
      <w:pPr>
        <w:pStyle w:val="ListParagraph"/>
        <w:numPr>
          <w:ilvl w:val="1"/>
          <w:numId w:val="1"/>
        </w:numPr>
        <w:rPr>
          <w:sz w:val="22"/>
          <w:szCs w:val="22"/>
        </w:rPr>
      </w:pPr>
      <w:r>
        <w:rPr>
          <w:sz w:val="22"/>
          <w:szCs w:val="22"/>
        </w:rPr>
        <w:t xml:space="preserve">Vita House is not bound or </w:t>
      </w:r>
      <w:r w:rsidR="00DF52C8">
        <w:rPr>
          <w:sz w:val="22"/>
          <w:szCs w:val="22"/>
        </w:rPr>
        <w:t>obliged</w:t>
      </w:r>
      <w:r>
        <w:rPr>
          <w:sz w:val="22"/>
          <w:szCs w:val="22"/>
        </w:rPr>
        <w:t xml:space="preserve"> to</w:t>
      </w:r>
      <w:r w:rsidR="00DF52C8">
        <w:rPr>
          <w:sz w:val="22"/>
          <w:szCs w:val="22"/>
        </w:rPr>
        <w:t xml:space="preserve"> accept the lowest tender price/c</w:t>
      </w:r>
      <w:r>
        <w:rPr>
          <w:sz w:val="22"/>
          <w:szCs w:val="22"/>
        </w:rPr>
        <w:t>osts received.</w:t>
      </w:r>
    </w:p>
    <w:tbl>
      <w:tblPr>
        <w:tblpPr w:leftFromText="180" w:rightFromText="180" w:vertAnchor="text" w:horzAnchor="margin" w:tblpXSpec="center" w:tblpY="911"/>
        <w:tblW w:w="6804" w:type="dxa"/>
        <w:tblLook w:val="04A0" w:firstRow="1" w:lastRow="0" w:firstColumn="1" w:lastColumn="0" w:noHBand="0" w:noVBand="1"/>
      </w:tblPr>
      <w:tblGrid>
        <w:gridCol w:w="5239"/>
        <w:gridCol w:w="1565"/>
      </w:tblGrid>
      <w:tr w:rsidR="009E7822" w:rsidRPr="009E7822" w:rsidTr="009E7822">
        <w:trPr>
          <w:trHeight w:val="300"/>
        </w:trPr>
        <w:tc>
          <w:tcPr>
            <w:tcW w:w="5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822" w:rsidRPr="009E7822" w:rsidRDefault="009E7822" w:rsidP="009E7822">
            <w:pPr>
              <w:spacing w:after="0" w:line="240" w:lineRule="auto"/>
              <w:jc w:val="center"/>
              <w:rPr>
                <w:rFonts w:ascii="Calibri" w:eastAsia="Times New Roman" w:hAnsi="Calibri" w:cs="Times New Roman"/>
                <w:b/>
                <w:bCs/>
                <w:color w:val="000000"/>
                <w:sz w:val="22"/>
                <w:szCs w:val="22"/>
                <w:lang w:eastAsia="en-IE"/>
              </w:rPr>
            </w:pPr>
            <w:r w:rsidRPr="009E7822">
              <w:rPr>
                <w:rFonts w:ascii="Calibri" w:eastAsia="Times New Roman" w:hAnsi="Calibri" w:cs="Times New Roman"/>
                <w:b/>
                <w:bCs/>
                <w:color w:val="000000"/>
                <w:sz w:val="22"/>
                <w:szCs w:val="22"/>
                <w:lang w:eastAsia="en-IE"/>
              </w:rPr>
              <w:lastRenderedPageBreak/>
              <w:t>Award Criteria</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9E7822" w:rsidRPr="009E7822" w:rsidRDefault="009E7822" w:rsidP="009E7822">
            <w:pPr>
              <w:spacing w:after="0" w:line="240" w:lineRule="auto"/>
              <w:jc w:val="center"/>
              <w:rPr>
                <w:rFonts w:ascii="Calibri" w:eastAsia="Times New Roman" w:hAnsi="Calibri" w:cs="Times New Roman"/>
                <w:b/>
                <w:bCs/>
                <w:color w:val="000000"/>
                <w:sz w:val="22"/>
                <w:szCs w:val="22"/>
                <w:lang w:eastAsia="en-IE"/>
              </w:rPr>
            </w:pPr>
            <w:r w:rsidRPr="009E7822">
              <w:rPr>
                <w:rFonts w:ascii="Calibri" w:eastAsia="Times New Roman" w:hAnsi="Calibri" w:cs="Times New Roman"/>
                <w:b/>
                <w:bCs/>
                <w:color w:val="000000"/>
                <w:sz w:val="22"/>
                <w:szCs w:val="22"/>
                <w:lang w:eastAsia="en-IE"/>
              </w:rPr>
              <w:t>% Weighting</w:t>
            </w:r>
          </w:p>
        </w:tc>
      </w:tr>
      <w:tr w:rsidR="009E7822" w:rsidRPr="009E7822" w:rsidTr="009E7822">
        <w:trPr>
          <w:trHeight w:val="600"/>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9E7822" w:rsidRPr="009E7822" w:rsidRDefault="00D36C51" w:rsidP="009E7822">
            <w:pPr>
              <w:spacing w:after="0" w:line="240" w:lineRule="auto"/>
              <w:rPr>
                <w:rFonts w:ascii="Calibri" w:eastAsia="Times New Roman" w:hAnsi="Calibri" w:cs="Times New Roman"/>
                <w:color w:val="000000"/>
                <w:sz w:val="22"/>
                <w:szCs w:val="22"/>
                <w:lang w:eastAsia="en-IE"/>
              </w:rPr>
            </w:pPr>
            <w:r>
              <w:rPr>
                <w:rFonts w:ascii="Calibri" w:eastAsia="Times New Roman" w:hAnsi="Calibri" w:cs="Times New Roman"/>
                <w:color w:val="000000"/>
                <w:sz w:val="22"/>
                <w:szCs w:val="22"/>
                <w:lang w:eastAsia="en-IE"/>
              </w:rPr>
              <w:t xml:space="preserve">Quality of Proposal </w:t>
            </w:r>
          </w:p>
        </w:tc>
        <w:tc>
          <w:tcPr>
            <w:tcW w:w="1565" w:type="dxa"/>
            <w:tcBorders>
              <w:top w:val="nil"/>
              <w:left w:val="nil"/>
              <w:bottom w:val="single" w:sz="4" w:space="0" w:color="auto"/>
              <w:right w:val="single" w:sz="4" w:space="0" w:color="auto"/>
            </w:tcBorders>
            <w:shd w:val="clear" w:color="auto" w:fill="auto"/>
            <w:noWrap/>
            <w:vAlign w:val="bottom"/>
            <w:hideMark/>
          </w:tcPr>
          <w:p w:rsidR="009E7822" w:rsidRPr="009E7822" w:rsidRDefault="00E964F7" w:rsidP="009E7822">
            <w:pPr>
              <w:spacing w:after="0" w:line="240" w:lineRule="auto"/>
              <w:jc w:val="center"/>
              <w:rPr>
                <w:rFonts w:ascii="Calibri" w:eastAsia="Times New Roman" w:hAnsi="Calibri" w:cs="Times New Roman"/>
                <w:color w:val="000000"/>
                <w:sz w:val="22"/>
                <w:szCs w:val="22"/>
                <w:lang w:eastAsia="en-IE"/>
              </w:rPr>
            </w:pPr>
            <w:r>
              <w:rPr>
                <w:rFonts w:ascii="Calibri" w:eastAsia="Times New Roman" w:hAnsi="Calibri" w:cs="Times New Roman"/>
                <w:color w:val="000000"/>
                <w:sz w:val="22"/>
                <w:szCs w:val="22"/>
                <w:lang w:eastAsia="en-IE"/>
              </w:rPr>
              <w:t>30</w:t>
            </w:r>
          </w:p>
        </w:tc>
      </w:tr>
      <w:tr w:rsidR="009E7822" w:rsidRPr="009E7822" w:rsidTr="009E7822">
        <w:trPr>
          <w:trHeight w:val="900"/>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9E7822" w:rsidRPr="009E7822" w:rsidRDefault="009E7822" w:rsidP="009E7822">
            <w:pPr>
              <w:spacing w:after="0" w:line="240" w:lineRule="auto"/>
              <w:rPr>
                <w:rFonts w:ascii="Calibri" w:eastAsia="Times New Roman" w:hAnsi="Calibri" w:cs="Times New Roman"/>
                <w:color w:val="000000"/>
                <w:sz w:val="22"/>
                <w:szCs w:val="22"/>
                <w:lang w:eastAsia="en-IE"/>
              </w:rPr>
            </w:pPr>
            <w:r w:rsidRPr="009E7822">
              <w:rPr>
                <w:rFonts w:ascii="Calibri" w:eastAsia="Times New Roman" w:hAnsi="Calibri" w:cs="Times New Roman"/>
                <w:color w:val="000000"/>
                <w:sz w:val="22"/>
                <w:szCs w:val="22"/>
                <w:lang w:eastAsia="en-IE"/>
              </w:rPr>
              <w:t>The ability of the tenderer to demonstrate a clear understanding of the objectives of the tender and proposed methodology, approach and management presented.</w:t>
            </w:r>
          </w:p>
        </w:tc>
        <w:tc>
          <w:tcPr>
            <w:tcW w:w="1565" w:type="dxa"/>
            <w:tcBorders>
              <w:top w:val="nil"/>
              <w:left w:val="nil"/>
              <w:bottom w:val="single" w:sz="4" w:space="0" w:color="auto"/>
              <w:right w:val="single" w:sz="4" w:space="0" w:color="auto"/>
            </w:tcBorders>
            <w:shd w:val="clear" w:color="auto" w:fill="auto"/>
            <w:noWrap/>
            <w:vAlign w:val="bottom"/>
            <w:hideMark/>
          </w:tcPr>
          <w:p w:rsidR="009E7822" w:rsidRPr="009E7822" w:rsidRDefault="009E7822" w:rsidP="009E7822">
            <w:pPr>
              <w:spacing w:after="0" w:line="240" w:lineRule="auto"/>
              <w:jc w:val="center"/>
              <w:rPr>
                <w:rFonts w:ascii="Calibri" w:eastAsia="Times New Roman" w:hAnsi="Calibri" w:cs="Times New Roman"/>
                <w:color w:val="000000"/>
                <w:sz w:val="22"/>
                <w:szCs w:val="22"/>
                <w:lang w:eastAsia="en-IE"/>
              </w:rPr>
            </w:pPr>
            <w:r w:rsidRPr="009E7822">
              <w:rPr>
                <w:rFonts w:ascii="Calibri" w:eastAsia="Times New Roman" w:hAnsi="Calibri" w:cs="Times New Roman"/>
                <w:color w:val="000000"/>
                <w:sz w:val="22"/>
                <w:szCs w:val="22"/>
                <w:lang w:eastAsia="en-IE"/>
              </w:rPr>
              <w:t>25</w:t>
            </w:r>
          </w:p>
        </w:tc>
      </w:tr>
      <w:tr w:rsidR="009E7822" w:rsidRPr="009E7822" w:rsidTr="009E7822">
        <w:trPr>
          <w:trHeight w:val="300"/>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9E7822" w:rsidRPr="009E7822" w:rsidRDefault="009E7822" w:rsidP="009E7822">
            <w:pPr>
              <w:spacing w:after="0" w:line="240" w:lineRule="auto"/>
              <w:rPr>
                <w:rFonts w:ascii="Calibri" w:eastAsia="Times New Roman" w:hAnsi="Calibri" w:cs="Times New Roman"/>
                <w:color w:val="000000"/>
                <w:sz w:val="22"/>
                <w:szCs w:val="22"/>
                <w:lang w:eastAsia="en-IE"/>
              </w:rPr>
            </w:pPr>
            <w:r w:rsidRPr="009E7822">
              <w:rPr>
                <w:rFonts w:ascii="Calibri" w:eastAsia="Times New Roman" w:hAnsi="Calibri" w:cs="Times New Roman"/>
                <w:color w:val="000000"/>
                <w:sz w:val="22"/>
                <w:szCs w:val="22"/>
                <w:lang w:eastAsia="en-IE"/>
              </w:rPr>
              <w:t xml:space="preserve">Completeness, </w:t>
            </w:r>
            <w:r w:rsidR="00E964F7">
              <w:rPr>
                <w:rFonts w:ascii="Calibri" w:eastAsia="Times New Roman" w:hAnsi="Calibri" w:cs="Times New Roman"/>
                <w:color w:val="000000"/>
                <w:sz w:val="22"/>
                <w:szCs w:val="22"/>
                <w:lang w:eastAsia="en-IE"/>
              </w:rPr>
              <w:t>suitability</w:t>
            </w:r>
            <w:r w:rsidRPr="009E7822">
              <w:rPr>
                <w:rFonts w:ascii="Calibri" w:eastAsia="Times New Roman" w:hAnsi="Calibri" w:cs="Times New Roman"/>
                <w:color w:val="000000"/>
                <w:sz w:val="22"/>
                <w:szCs w:val="22"/>
                <w:lang w:eastAsia="en-IE"/>
              </w:rPr>
              <w:t xml:space="preserve"> and credibility of </w:t>
            </w:r>
            <w:r w:rsidR="00385ACA" w:rsidRPr="009E7822">
              <w:rPr>
                <w:rFonts w:ascii="Calibri" w:eastAsia="Times New Roman" w:hAnsi="Calibri" w:cs="Times New Roman"/>
                <w:color w:val="000000"/>
                <w:sz w:val="22"/>
                <w:szCs w:val="22"/>
                <w:lang w:eastAsia="en-IE"/>
              </w:rPr>
              <w:t>response</w:t>
            </w:r>
            <w:r w:rsidRPr="009E7822">
              <w:rPr>
                <w:rFonts w:ascii="Calibri" w:eastAsia="Times New Roman" w:hAnsi="Calibri" w:cs="Times New Roman"/>
                <w:color w:val="000000"/>
                <w:sz w:val="22"/>
                <w:szCs w:val="22"/>
                <w:lang w:eastAsia="en-IE"/>
              </w:rPr>
              <w:t>.</w:t>
            </w:r>
          </w:p>
        </w:tc>
        <w:tc>
          <w:tcPr>
            <w:tcW w:w="1565" w:type="dxa"/>
            <w:tcBorders>
              <w:top w:val="nil"/>
              <w:left w:val="nil"/>
              <w:bottom w:val="single" w:sz="4" w:space="0" w:color="auto"/>
              <w:right w:val="single" w:sz="4" w:space="0" w:color="auto"/>
            </w:tcBorders>
            <w:shd w:val="clear" w:color="auto" w:fill="auto"/>
            <w:noWrap/>
            <w:vAlign w:val="bottom"/>
            <w:hideMark/>
          </w:tcPr>
          <w:p w:rsidR="009E7822" w:rsidRPr="009E7822" w:rsidRDefault="009E7822" w:rsidP="009E7822">
            <w:pPr>
              <w:spacing w:after="0" w:line="240" w:lineRule="auto"/>
              <w:jc w:val="center"/>
              <w:rPr>
                <w:rFonts w:ascii="Calibri" w:eastAsia="Times New Roman" w:hAnsi="Calibri" w:cs="Times New Roman"/>
                <w:color w:val="000000"/>
                <w:sz w:val="22"/>
                <w:szCs w:val="22"/>
                <w:lang w:eastAsia="en-IE"/>
              </w:rPr>
            </w:pPr>
            <w:r w:rsidRPr="009E7822">
              <w:rPr>
                <w:rFonts w:ascii="Calibri" w:eastAsia="Times New Roman" w:hAnsi="Calibri" w:cs="Times New Roman"/>
                <w:color w:val="000000"/>
                <w:sz w:val="22"/>
                <w:szCs w:val="22"/>
                <w:lang w:eastAsia="en-IE"/>
              </w:rPr>
              <w:t>1</w:t>
            </w:r>
            <w:r w:rsidR="00E964F7">
              <w:rPr>
                <w:rFonts w:ascii="Calibri" w:eastAsia="Times New Roman" w:hAnsi="Calibri" w:cs="Times New Roman"/>
                <w:color w:val="000000"/>
                <w:sz w:val="22"/>
                <w:szCs w:val="22"/>
                <w:lang w:eastAsia="en-IE"/>
              </w:rPr>
              <w:t>5</w:t>
            </w:r>
          </w:p>
        </w:tc>
      </w:tr>
      <w:tr w:rsidR="009E7822" w:rsidRPr="009E7822" w:rsidTr="009E7822">
        <w:trPr>
          <w:trHeight w:val="300"/>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9E7822" w:rsidRPr="009E7822" w:rsidRDefault="009E7822" w:rsidP="009E7822">
            <w:pPr>
              <w:spacing w:after="0" w:line="240" w:lineRule="auto"/>
              <w:rPr>
                <w:rFonts w:ascii="Calibri" w:eastAsia="Times New Roman" w:hAnsi="Calibri" w:cs="Times New Roman"/>
                <w:color w:val="000000"/>
                <w:sz w:val="22"/>
                <w:szCs w:val="22"/>
                <w:lang w:eastAsia="en-IE"/>
              </w:rPr>
            </w:pPr>
            <w:r w:rsidRPr="009E7822">
              <w:rPr>
                <w:rFonts w:ascii="Calibri" w:eastAsia="Times New Roman" w:hAnsi="Calibri" w:cs="Times New Roman"/>
                <w:color w:val="000000"/>
                <w:sz w:val="22"/>
                <w:szCs w:val="22"/>
                <w:lang w:eastAsia="en-IE"/>
              </w:rPr>
              <w:t>Cost and price</w:t>
            </w:r>
          </w:p>
        </w:tc>
        <w:tc>
          <w:tcPr>
            <w:tcW w:w="1565" w:type="dxa"/>
            <w:tcBorders>
              <w:top w:val="nil"/>
              <w:left w:val="nil"/>
              <w:bottom w:val="single" w:sz="4" w:space="0" w:color="auto"/>
              <w:right w:val="single" w:sz="4" w:space="0" w:color="auto"/>
            </w:tcBorders>
            <w:shd w:val="clear" w:color="auto" w:fill="auto"/>
            <w:noWrap/>
            <w:vAlign w:val="bottom"/>
            <w:hideMark/>
          </w:tcPr>
          <w:p w:rsidR="009E7822" w:rsidRPr="009E7822" w:rsidRDefault="00E964F7" w:rsidP="009E7822">
            <w:pPr>
              <w:spacing w:after="0" w:line="240" w:lineRule="auto"/>
              <w:jc w:val="center"/>
              <w:rPr>
                <w:rFonts w:ascii="Calibri" w:eastAsia="Times New Roman" w:hAnsi="Calibri" w:cs="Times New Roman"/>
                <w:color w:val="000000"/>
                <w:sz w:val="22"/>
                <w:szCs w:val="22"/>
                <w:lang w:eastAsia="en-IE"/>
              </w:rPr>
            </w:pPr>
            <w:r>
              <w:rPr>
                <w:rFonts w:ascii="Calibri" w:eastAsia="Times New Roman" w:hAnsi="Calibri" w:cs="Times New Roman"/>
                <w:color w:val="000000"/>
                <w:sz w:val="22"/>
                <w:szCs w:val="22"/>
                <w:lang w:eastAsia="en-IE"/>
              </w:rPr>
              <w:t>30</w:t>
            </w:r>
          </w:p>
        </w:tc>
      </w:tr>
      <w:tr w:rsidR="009E7822" w:rsidRPr="009E7822" w:rsidTr="009E7822">
        <w:trPr>
          <w:trHeight w:val="300"/>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9E7822" w:rsidRPr="009E7822" w:rsidRDefault="009E7822" w:rsidP="009E7822">
            <w:pPr>
              <w:spacing w:after="0" w:line="240" w:lineRule="auto"/>
              <w:jc w:val="center"/>
              <w:rPr>
                <w:rFonts w:ascii="Calibri" w:eastAsia="Times New Roman" w:hAnsi="Calibri" w:cs="Times New Roman"/>
                <w:b/>
                <w:bCs/>
                <w:color w:val="000000"/>
                <w:sz w:val="22"/>
                <w:szCs w:val="22"/>
                <w:lang w:eastAsia="en-IE"/>
              </w:rPr>
            </w:pPr>
            <w:r w:rsidRPr="009E7822">
              <w:rPr>
                <w:rFonts w:ascii="Calibri" w:eastAsia="Times New Roman" w:hAnsi="Calibri" w:cs="Times New Roman"/>
                <w:b/>
                <w:bCs/>
                <w:color w:val="000000"/>
                <w:sz w:val="22"/>
                <w:szCs w:val="22"/>
                <w:lang w:eastAsia="en-IE"/>
              </w:rPr>
              <w:t>Total</w:t>
            </w:r>
          </w:p>
        </w:tc>
        <w:tc>
          <w:tcPr>
            <w:tcW w:w="1565" w:type="dxa"/>
            <w:tcBorders>
              <w:top w:val="nil"/>
              <w:left w:val="nil"/>
              <w:bottom w:val="single" w:sz="4" w:space="0" w:color="auto"/>
              <w:right w:val="single" w:sz="4" w:space="0" w:color="auto"/>
            </w:tcBorders>
            <w:shd w:val="clear" w:color="auto" w:fill="auto"/>
            <w:noWrap/>
            <w:vAlign w:val="bottom"/>
            <w:hideMark/>
          </w:tcPr>
          <w:p w:rsidR="009E7822" w:rsidRPr="009E7822" w:rsidRDefault="009E7822" w:rsidP="009E7822">
            <w:pPr>
              <w:spacing w:after="0" w:line="240" w:lineRule="auto"/>
              <w:jc w:val="center"/>
              <w:rPr>
                <w:rFonts w:ascii="Calibri" w:eastAsia="Times New Roman" w:hAnsi="Calibri" w:cs="Times New Roman"/>
                <w:b/>
                <w:bCs/>
                <w:color w:val="000000"/>
                <w:sz w:val="22"/>
                <w:szCs w:val="22"/>
                <w:lang w:eastAsia="en-IE"/>
              </w:rPr>
            </w:pPr>
            <w:r w:rsidRPr="009E7822">
              <w:rPr>
                <w:rFonts w:ascii="Calibri" w:eastAsia="Times New Roman" w:hAnsi="Calibri" w:cs="Times New Roman"/>
                <w:b/>
                <w:bCs/>
                <w:color w:val="000000"/>
                <w:sz w:val="22"/>
                <w:szCs w:val="22"/>
                <w:lang w:eastAsia="en-IE"/>
              </w:rPr>
              <w:t>100%</w:t>
            </w:r>
          </w:p>
        </w:tc>
      </w:tr>
    </w:tbl>
    <w:p w:rsidR="004C10D0" w:rsidRDefault="004C10D0" w:rsidP="00584381">
      <w:pPr>
        <w:pStyle w:val="ListParagraph"/>
        <w:numPr>
          <w:ilvl w:val="1"/>
          <w:numId w:val="1"/>
        </w:numPr>
        <w:rPr>
          <w:sz w:val="22"/>
          <w:szCs w:val="22"/>
        </w:rPr>
      </w:pPr>
      <w:r>
        <w:rPr>
          <w:sz w:val="22"/>
          <w:szCs w:val="22"/>
        </w:rPr>
        <w:t>Contracts will be awarded from the qualifying tenders/responses on the basis of the most economically advantageous tender/response consistent with the following award criteria:</w:t>
      </w:r>
    </w:p>
    <w:p w:rsidR="009E7822" w:rsidRDefault="009E7822" w:rsidP="009E7822">
      <w:pPr>
        <w:pStyle w:val="ListParagraph"/>
        <w:ind w:left="1080"/>
        <w:rPr>
          <w:sz w:val="22"/>
          <w:szCs w:val="22"/>
        </w:rPr>
      </w:pPr>
    </w:p>
    <w:p w:rsidR="004C10D0" w:rsidRDefault="004C10D0" w:rsidP="004C10D0">
      <w:pPr>
        <w:pStyle w:val="ListParagraph"/>
        <w:ind w:left="1080"/>
        <w:rPr>
          <w:sz w:val="22"/>
          <w:szCs w:val="22"/>
        </w:rPr>
      </w:pPr>
    </w:p>
    <w:p w:rsidR="004C10D0" w:rsidRDefault="004C10D0" w:rsidP="004C10D0">
      <w:pPr>
        <w:rPr>
          <w:sz w:val="22"/>
          <w:szCs w:val="22"/>
        </w:rPr>
      </w:pPr>
    </w:p>
    <w:p w:rsidR="004C10D0" w:rsidRPr="004C10D0" w:rsidRDefault="004C10D0" w:rsidP="004C10D0">
      <w:pPr>
        <w:rPr>
          <w:sz w:val="22"/>
          <w:szCs w:val="22"/>
        </w:rPr>
      </w:pPr>
    </w:p>
    <w:p w:rsidR="004C10D0" w:rsidRPr="004C10D0" w:rsidRDefault="004C10D0" w:rsidP="004C10D0">
      <w:pPr>
        <w:ind w:left="360"/>
        <w:rPr>
          <w:sz w:val="22"/>
          <w:szCs w:val="22"/>
        </w:rPr>
      </w:pPr>
    </w:p>
    <w:p w:rsidR="002515A9" w:rsidRDefault="002515A9" w:rsidP="002515A9">
      <w:pPr>
        <w:rPr>
          <w:sz w:val="22"/>
          <w:szCs w:val="22"/>
        </w:rPr>
      </w:pPr>
    </w:p>
    <w:p w:rsidR="002515A9" w:rsidRPr="002515A9" w:rsidRDefault="002515A9" w:rsidP="002515A9">
      <w:pPr>
        <w:rPr>
          <w:sz w:val="22"/>
          <w:szCs w:val="22"/>
        </w:rPr>
      </w:pPr>
    </w:p>
    <w:p w:rsidR="000A2E23" w:rsidRDefault="000A2E23" w:rsidP="000A2E23">
      <w:pPr>
        <w:rPr>
          <w:sz w:val="22"/>
          <w:szCs w:val="22"/>
        </w:rPr>
      </w:pPr>
    </w:p>
    <w:p w:rsidR="000A2E23" w:rsidRDefault="000A2E23" w:rsidP="000A2E23">
      <w:pPr>
        <w:rPr>
          <w:sz w:val="22"/>
          <w:szCs w:val="22"/>
        </w:rPr>
      </w:pPr>
      <w:r>
        <w:rPr>
          <w:sz w:val="22"/>
          <w:szCs w:val="22"/>
        </w:rPr>
        <w:t>A minimum overall score of 60% is required in respect of the total award criteria, as well as a    minimum score of 50% in respect of each of the award criteria. Vita House reserves all rights to re-issue the tender in the event that none of the tenders/responses successfully satisfy the award criteria.</w:t>
      </w:r>
    </w:p>
    <w:p w:rsidR="000A2E23" w:rsidRDefault="000A2E23" w:rsidP="000A2E23">
      <w:pPr>
        <w:rPr>
          <w:sz w:val="22"/>
          <w:szCs w:val="22"/>
        </w:rPr>
      </w:pPr>
    </w:p>
    <w:p w:rsidR="0094235D" w:rsidRDefault="0094235D" w:rsidP="0094235D">
      <w:pPr>
        <w:pStyle w:val="ListParagraph"/>
        <w:ind w:left="1080"/>
        <w:rPr>
          <w:sz w:val="22"/>
          <w:szCs w:val="22"/>
        </w:rPr>
      </w:pPr>
    </w:p>
    <w:p w:rsidR="0094235D" w:rsidRPr="002976F9" w:rsidRDefault="0094235D" w:rsidP="00584381">
      <w:pPr>
        <w:pStyle w:val="ListParagraph"/>
        <w:numPr>
          <w:ilvl w:val="0"/>
          <w:numId w:val="1"/>
        </w:numPr>
        <w:rPr>
          <w:b/>
          <w:sz w:val="22"/>
          <w:szCs w:val="22"/>
        </w:rPr>
      </w:pPr>
      <w:r w:rsidRPr="002976F9">
        <w:rPr>
          <w:b/>
          <w:sz w:val="22"/>
          <w:szCs w:val="22"/>
        </w:rPr>
        <w:t>Conditions</w:t>
      </w:r>
    </w:p>
    <w:p w:rsidR="0094235D" w:rsidRDefault="0094235D" w:rsidP="0094235D">
      <w:pPr>
        <w:pStyle w:val="ListParagraph"/>
        <w:rPr>
          <w:sz w:val="22"/>
          <w:szCs w:val="22"/>
        </w:rPr>
      </w:pPr>
    </w:p>
    <w:p w:rsidR="0094235D" w:rsidRDefault="0094235D" w:rsidP="00584381">
      <w:pPr>
        <w:pStyle w:val="ListParagraph"/>
        <w:numPr>
          <w:ilvl w:val="1"/>
          <w:numId w:val="1"/>
        </w:numPr>
        <w:rPr>
          <w:sz w:val="22"/>
          <w:szCs w:val="22"/>
        </w:rPr>
      </w:pPr>
      <w:r>
        <w:rPr>
          <w:sz w:val="22"/>
          <w:szCs w:val="22"/>
        </w:rPr>
        <w:t>The prices quoted in the response shall be fixed for the duration of the contract from the Closing date for Receipt of Responses and not subject to price adjustment or any price variation formula.</w:t>
      </w:r>
    </w:p>
    <w:p w:rsidR="0094235D" w:rsidRDefault="0094235D" w:rsidP="00584381">
      <w:pPr>
        <w:pStyle w:val="ListParagraph"/>
        <w:numPr>
          <w:ilvl w:val="1"/>
          <w:numId w:val="1"/>
        </w:numPr>
        <w:rPr>
          <w:sz w:val="22"/>
          <w:szCs w:val="22"/>
        </w:rPr>
      </w:pPr>
      <w:r>
        <w:rPr>
          <w:sz w:val="22"/>
          <w:szCs w:val="22"/>
        </w:rPr>
        <w:t>Vita House will not be responsible for and will not pay for any expense incurred or loss suffered by a tenderer in preparation or submission of its response or otherwise.  Further, Vita House shall not be responsible for any travel or accommodation costs incurred by the tenderer unless previously agreed in writing by Vita House.  Each ten</w:t>
      </w:r>
      <w:r w:rsidR="00C138E2">
        <w:rPr>
          <w:sz w:val="22"/>
          <w:szCs w:val="22"/>
        </w:rPr>
        <w:t>derer is fully responsible for the entirety of all costs it incurs in the presentation or submission of a response or in participating in this process and competition.</w:t>
      </w:r>
    </w:p>
    <w:p w:rsidR="00C138E2" w:rsidRDefault="00C138E2" w:rsidP="00584381">
      <w:pPr>
        <w:pStyle w:val="ListParagraph"/>
        <w:numPr>
          <w:ilvl w:val="1"/>
          <w:numId w:val="1"/>
        </w:numPr>
        <w:rPr>
          <w:sz w:val="22"/>
          <w:szCs w:val="22"/>
        </w:rPr>
      </w:pPr>
      <w:r>
        <w:rPr>
          <w:sz w:val="22"/>
          <w:szCs w:val="22"/>
        </w:rPr>
        <w:t>Vita House does not guarantee nor represent the achievement of any level or value of business resulting from the appointment of any or all tenderers.</w:t>
      </w:r>
    </w:p>
    <w:p w:rsidR="00C138E2" w:rsidRDefault="00C138E2" w:rsidP="00584381">
      <w:pPr>
        <w:pStyle w:val="ListParagraph"/>
        <w:numPr>
          <w:ilvl w:val="1"/>
          <w:numId w:val="1"/>
        </w:numPr>
        <w:rPr>
          <w:sz w:val="22"/>
          <w:szCs w:val="22"/>
        </w:rPr>
      </w:pPr>
      <w:r>
        <w:rPr>
          <w:sz w:val="22"/>
          <w:szCs w:val="22"/>
        </w:rPr>
        <w:t>Confidentiality – The distribution of the tender/response document is for the sole purpose of obtaining responses.  The distribution does not grant permission or licence to use the documents for any other purpose.</w:t>
      </w:r>
    </w:p>
    <w:p w:rsidR="00C138E2" w:rsidRDefault="00C138E2" w:rsidP="00584381">
      <w:pPr>
        <w:pStyle w:val="ListParagraph"/>
        <w:numPr>
          <w:ilvl w:val="1"/>
          <w:numId w:val="1"/>
        </w:numPr>
        <w:rPr>
          <w:sz w:val="22"/>
          <w:szCs w:val="22"/>
        </w:rPr>
      </w:pPr>
      <w:r>
        <w:rPr>
          <w:sz w:val="22"/>
          <w:szCs w:val="22"/>
        </w:rPr>
        <w:t>Tenderers are required to treat the details of all documents supplied in connection with the tender process as private and confidential.  Similarly, Vita House undertakes to use its reasonable endeavours not to disclose to third parties any confidential information received from tenderers, subject to its legal obligations.</w:t>
      </w:r>
    </w:p>
    <w:p w:rsidR="00C138E2" w:rsidRDefault="00C138E2" w:rsidP="00584381">
      <w:pPr>
        <w:pStyle w:val="ListParagraph"/>
        <w:numPr>
          <w:ilvl w:val="1"/>
          <w:numId w:val="1"/>
        </w:numPr>
        <w:rPr>
          <w:sz w:val="22"/>
          <w:szCs w:val="22"/>
        </w:rPr>
      </w:pPr>
      <w:r>
        <w:rPr>
          <w:sz w:val="22"/>
          <w:szCs w:val="22"/>
        </w:rPr>
        <w:lastRenderedPageBreak/>
        <w:t>Any conflict of interest or potential conflict of interest, including ‘conflicts by loyalty’ involving a tenderer must be fully disclosed to Vita House.</w:t>
      </w:r>
    </w:p>
    <w:p w:rsidR="00C138E2" w:rsidRDefault="00A24022" w:rsidP="00584381">
      <w:pPr>
        <w:pStyle w:val="ListParagraph"/>
        <w:numPr>
          <w:ilvl w:val="1"/>
          <w:numId w:val="1"/>
        </w:numPr>
        <w:rPr>
          <w:sz w:val="22"/>
          <w:szCs w:val="22"/>
        </w:rPr>
      </w:pPr>
      <w:r>
        <w:rPr>
          <w:sz w:val="22"/>
          <w:szCs w:val="22"/>
        </w:rPr>
        <w:t>Vita House may disqualify a tenderer if the tenderer is economically, legally, commercially, financially or otherwise related to one or more other tenderers in a way that would impede in anyway the incentive that the tenderer should have to compete to be a successful tenderer in the competition.</w:t>
      </w:r>
    </w:p>
    <w:p w:rsidR="00A24022" w:rsidRDefault="00A24022" w:rsidP="00584381">
      <w:pPr>
        <w:pStyle w:val="ListParagraph"/>
        <w:numPr>
          <w:ilvl w:val="1"/>
          <w:numId w:val="1"/>
        </w:numPr>
        <w:rPr>
          <w:sz w:val="22"/>
          <w:szCs w:val="22"/>
        </w:rPr>
      </w:pPr>
      <w:r>
        <w:rPr>
          <w:sz w:val="22"/>
          <w:szCs w:val="22"/>
        </w:rPr>
        <w:t>A tenderer shall not sub-contract all or any part of its obligations under this tender (except delivery of goods) without Vita House prior written approval.  No such approval shall create any contractual relationship between Vita House and any sub-contractor.</w:t>
      </w:r>
    </w:p>
    <w:p w:rsidR="00A24022" w:rsidRDefault="00A24022" w:rsidP="00584381">
      <w:pPr>
        <w:pStyle w:val="ListParagraph"/>
        <w:numPr>
          <w:ilvl w:val="1"/>
          <w:numId w:val="1"/>
        </w:numPr>
        <w:rPr>
          <w:sz w:val="22"/>
          <w:szCs w:val="22"/>
        </w:rPr>
      </w:pPr>
      <w:r>
        <w:rPr>
          <w:sz w:val="22"/>
          <w:szCs w:val="22"/>
        </w:rPr>
        <w:t xml:space="preserve">It will be a condition of appointment that the tenderer and any sub-contractor (domestic or otherwise) appointed by the tenderer will be required to product for inspection by Vita House a current Tax Clearance Certificate issued by the office of the Revenue Commissioners, Ireland: </w:t>
      </w:r>
      <w:hyperlink r:id="rId9" w:history="1">
        <w:r w:rsidRPr="00027D71">
          <w:rPr>
            <w:rStyle w:val="Hyperlink"/>
            <w:sz w:val="22"/>
            <w:szCs w:val="22"/>
          </w:rPr>
          <w:t>www.revenue.ie</w:t>
        </w:r>
      </w:hyperlink>
    </w:p>
    <w:p w:rsidR="00A24022" w:rsidRDefault="00A24022" w:rsidP="00584381">
      <w:pPr>
        <w:pStyle w:val="ListParagraph"/>
        <w:numPr>
          <w:ilvl w:val="1"/>
          <w:numId w:val="1"/>
        </w:numPr>
        <w:rPr>
          <w:sz w:val="22"/>
          <w:szCs w:val="22"/>
        </w:rPr>
      </w:pPr>
      <w:r>
        <w:rPr>
          <w:sz w:val="22"/>
          <w:szCs w:val="22"/>
        </w:rPr>
        <w:t xml:space="preserve">Tenderers should be aware that national legislation applies in matters such as </w:t>
      </w:r>
      <w:r w:rsidR="002976F9">
        <w:rPr>
          <w:sz w:val="22"/>
          <w:szCs w:val="22"/>
        </w:rPr>
        <w:t>Employment</w:t>
      </w:r>
      <w:r>
        <w:rPr>
          <w:sz w:val="22"/>
          <w:szCs w:val="22"/>
        </w:rPr>
        <w:t>, Working Hours, Official Secrets, Data Protection and Health and Safety.  All relevant aspects of such legislation must be observed at all times by the successful service provider.</w:t>
      </w:r>
    </w:p>
    <w:p w:rsidR="00A24022" w:rsidRDefault="00A24022" w:rsidP="00584381">
      <w:pPr>
        <w:pStyle w:val="ListParagraph"/>
        <w:numPr>
          <w:ilvl w:val="1"/>
          <w:numId w:val="1"/>
        </w:numPr>
        <w:rPr>
          <w:sz w:val="22"/>
          <w:szCs w:val="22"/>
        </w:rPr>
      </w:pPr>
      <w:r>
        <w:rPr>
          <w:sz w:val="22"/>
          <w:szCs w:val="22"/>
        </w:rPr>
        <w:t>It will be a condition of appointment that the tenderer and any sub-contractors (domestic or otherwise) appointed by the tenderer will be required to produce for inspection Confirmation of Insurances.  The successful service provider will be required to carry the following levels of insurances.</w:t>
      </w:r>
    </w:p>
    <w:p w:rsidR="00A24022" w:rsidRDefault="006E5C16" w:rsidP="00584381">
      <w:pPr>
        <w:pStyle w:val="ListParagraph"/>
        <w:numPr>
          <w:ilvl w:val="2"/>
          <w:numId w:val="1"/>
        </w:numPr>
        <w:rPr>
          <w:sz w:val="22"/>
          <w:szCs w:val="22"/>
        </w:rPr>
      </w:pPr>
      <w:r>
        <w:rPr>
          <w:sz w:val="22"/>
          <w:szCs w:val="22"/>
        </w:rPr>
        <w:t>Professional Indemnity Insurance with an indemnity limit of not less than €1 million in respect of any one incident.  The policy shall include an indemnity to Vita House</w:t>
      </w:r>
      <w:r w:rsidR="0028018A">
        <w:rPr>
          <w:sz w:val="22"/>
          <w:szCs w:val="22"/>
        </w:rPr>
        <w:t xml:space="preserve"> Services Company Limited by Guarantee.</w:t>
      </w:r>
    </w:p>
    <w:p w:rsidR="0028018A" w:rsidRDefault="0028018A" w:rsidP="00584381">
      <w:pPr>
        <w:pStyle w:val="ListParagraph"/>
        <w:numPr>
          <w:ilvl w:val="1"/>
          <w:numId w:val="1"/>
        </w:numPr>
        <w:rPr>
          <w:sz w:val="22"/>
          <w:szCs w:val="22"/>
        </w:rPr>
      </w:pPr>
      <w:r>
        <w:rPr>
          <w:sz w:val="22"/>
          <w:szCs w:val="22"/>
        </w:rPr>
        <w:t>After the official opening of tenders/responses, information relating to the examination, clarification, evaluation and comparison of tenders/responses will not be disclosed to tenderers or any other persons save as required by law.</w:t>
      </w:r>
    </w:p>
    <w:p w:rsidR="0028018A" w:rsidRDefault="0028018A" w:rsidP="00584381">
      <w:pPr>
        <w:pStyle w:val="ListParagraph"/>
        <w:numPr>
          <w:ilvl w:val="1"/>
          <w:numId w:val="1"/>
        </w:numPr>
        <w:rPr>
          <w:sz w:val="22"/>
          <w:szCs w:val="22"/>
        </w:rPr>
      </w:pPr>
      <w:r>
        <w:rPr>
          <w:sz w:val="22"/>
          <w:szCs w:val="22"/>
        </w:rPr>
        <w:t>After the official opening of tenders/responses, Vita House or its staff or agents will determine whether each tender/response is substantially responsive to the requirements of the tender documents.  If a material deviation exists that limits in any substantial way Vita House rights or the tenderer’s obligations, the tender/response shall be rejected.</w:t>
      </w:r>
    </w:p>
    <w:p w:rsidR="0028018A" w:rsidRDefault="0028018A" w:rsidP="00584381">
      <w:pPr>
        <w:pStyle w:val="ListParagraph"/>
        <w:numPr>
          <w:ilvl w:val="1"/>
          <w:numId w:val="1"/>
        </w:numPr>
        <w:rPr>
          <w:sz w:val="22"/>
          <w:szCs w:val="22"/>
        </w:rPr>
      </w:pPr>
      <w:r>
        <w:rPr>
          <w:sz w:val="22"/>
          <w:szCs w:val="22"/>
        </w:rPr>
        <w:t>Without prejudice to the conduct of the competitive dialogue procedure, to assist in the examination and comparison of tenders/responses, Vita House may ask tenderers for clarification of aspects of their tenders, including a breakdown of the financial proposal or other information.</w:t>
      </w:r>
    </w:p>
    <w:p w:rsidR="0028018A" w:rsidRDefault="0028018A" w:rsidP="00584381">
      <w:pPr>
        <w:pStyle w:val="ListParagraph"/>
        <w:numPr>
          <w:ilvl w:val="1"/>
          <w:numId w:val="1"/>
        </w:numPr>
        <w:rPr>
          <w:sz w:val="22"/>
          <w:szCs w:val="22"/>
        </w:rPr>
      </w:pPr>
      <w:r>
        <w:rPr>
          <w:sz w:val="22"/>
          <w:szCs w:val="22"/>
        </w:rPr>
        <w:t>All tenderers concerned will be notified in writing of the outcome of their tender/response.</w:t>
      </w:r>
    </w:p>
    <w:p w:rsidR="0028018A" w:rsidRDefault="0028018A" w:rsidP="00584381">
      <w:pPr>
        <w:pStyle w:val="ListParagraph"/>
        <w:numPr>
          <w:ilvl w:val="1"/>
          <w:numId w:val="1"/>
        </w:numPr>
        <w:rPr>
          <w:sz w:val="22"/>
          <w:szCs w:val="22"/>
        </w:rPr>
      </w:pPr>
      <w:r>
        <w:rPr>
          <w:sz w:val="22"/>
          <w:szCs w:val="22"/>
        </w:rPr>
        <w:t xml:space="preserve">No representation, warranty or undertaking, express or implied, in respect of any error or misstatement by or on behalf of Vita House is or will be made or given to any tenderer and no responsibility or liability is or will be accepted by Vita House for the accuracy of completeness of these conditions of tendering or omissions therefrom.  Any and all liability and/or loss of any nature whatsoever and howsoever arising (including liability and /or loss in any way resulting from the process and competition which arises out of these Conditions </w:t>
      </w:r>
      <w:r>
        <w:rPr>
          <w:sz w:val="22"/>
          <w:szCs w:val="22"/>
        </w:rPr>
        <w:lastRenderedPageBreak/>
        <w:t>of Tendering) is hereby expressly disclaimed and excluded by Vita House</w:t>
      </w:r>
      <w:r w:rsidR="003666FA">
        <w:rPr>
          <w:sz w:val="22"/>
          <w:szCs w:val="22"/>
        </w:rPr>
        <w:t xml:space="preserve"> to the fullest extent permitted by applicable law.</w:t>
      </w:r>
    </w:p>
    <w:p w:rsidR="003666FA" w:rsidRPr="00BA3B37" w:rsidRDefault="003666FA" w:rsidP="00584381">
      <w:pPr>
        <w:pStyle w:val="ListParagraph"/>
        <w:numPr>
          <w:ilvl w:val="1"/>
          <w:numId w:val="1"/>
        </w:numPr>
        <w:rPr>
          <w:rStyle w:val="Hyperlink"/>
          <w:color w:val="auto"/>
          <w:sz w:val="22"/>
          <w:szCs w:val="22"/>
          <w:u w:val="none"/>
        </w:rPr>
      </w:pPr>
      <w:r>
        <w:rPr>
          <w:sz w:val="22"/>
          <w:szCs w:val="22"/>
        </w:rPr>
        <w:t xml:space="preserve">Any material information or change in events which relates to a tenderer and/or its tender/response that comes to light subsequent to the submission of a tender/response must be promptly brought to the attention </w:t>
      </w:r>
      <w:r w:rsidR="00BA3B37">
        <w:rPr>
          <w:sz w:val="22"/>
          <w:szCs w:val="22"/>
        </w:rPr>
        <w:t xml:space="preserve">of Vita House by the relevant tenderer by e-mail only to </w:t>
      </w:r>
      <w:r w:rsidR="002B0527">
        <w:rPr>
          <w:sz w:val="22"/>
          <w:szCs w:val="22"/>
        </w:rPr>
        <w:t>sboyle@vitahouse.org.</w:t>
      </w:r>
    </w:p>
    <w:p w:rsidR="00BA3B37" w:rsidRDefault="00BA3B37" w:rsidP="00584381">
      <w:pPr>
        <w:pStyle w:val="ListParagraph"/>
        <w:numPr>
          <w:ilvl w:val="1"/>
          <w:numId w:val="1"/>
        </w:numPr>
        <w:rPr>
          <w:sz w:val="22"/>
          <w:szCs w:val="22"/>
        </w:rPr>
      </w:pPr>
      <w:r w:rsidRPr="00BA3B37">
        <w:rPr>
          <w:sz w:val="22"/>
          <w:szCs w:val="22"/>
        </w:rPr>
        <w:t>Tenderers responses must meet the address all the requir</w:t>
      </w:r>
      <w:r>
        <w:rPr>
          <w:sz w:val="22"/>
          <w:szCs w:val="22"/>
        </w:rPr>
        <w:t>e</w:t>
      </w:r>
      <w:r w:rsidRPr="00BA3B37">
        <w:rPr>
          <w:sz w:val="22"/>
          <w:szCs w:val="22"/>
        </w:rPr>
        <w:t>ments</w:t>
      </w:r>
      <w:r>
        <w:rPr>
          <w:sz w:val="22"/>
          <w:szCs w:val="22"/>
        </w:rPr>
        <w:t xml:space="preserve"> and must be in the format set out in these Conditions of Tendering.  A tender/response which fails to meet and/or address any or all of the requirements of these Conditions of Tendering and/or which is not in the specified format will be treated as failing to comply with mandatory conditions of these Conditions of Tendering and may, at the sole discretion of Vita House, be rejected and eliminated from this competition.  Subject to compliance with applicable law, Vita House</w:t>
      </w:r>
      <w:r w:rsidR="007276B2">
        <w:rPr>
          <w:sz w:val="22"/>
          <w:szCs w:val="22"/>
        </w:rPr>
        <w:t xml:space="preserve"> reserves the right, as its sole discretion, to accept or reject any or all responses and/or to waive any irregularity, non-compliance or informality in any tender/response.</w:t>
      </w:r>
    </w:p>
    <w:p w:rsidR="007276B2" w:rsidRDefault="007276B2" w:rsidP="00584381">
      <w:pPr>
        <w:pStyle w:val="ListParagraph"/>
        <w:numPr>
          <w:ilvl w:val="1"/>
          <w:numId w:val="1"/>
        </w:numPr>
        <w:rPr>
          <w:sz w:val="22"/>
          <w:szCs w:val="22"/>
        </w:rPr>
      </w:pPr>
      <w:r>
        <w:rPr>
          <w:sz w:val="22"/>
          <w:szCs w:val="22"/>
        </w:rPr>
        <w:t>Tenderers, including consortia or groups of service providers, shall nominate in their tender/response, one person to whom only all correspondence will be furnished and from whom only correspondence shall be accepted, acknowledged and/or responded to.</w:t>
      </w:r>
    </w:p>
    <w:p w:rsidR="007276B2" w:rsidRDefault="007276B2" w:rsidP="00584381">
      <w:pPr>
        <w:pStyle w:val="ListParagraph"/>
        <w:numPr>
          <w:ilvl w:val="1"/>
          <w:numId w:val="1"/>
        </w:numPr>
        <w:rPr>
          <w:sz w:val="22"/>
          <w:szCs w:val="22"/>
        </w:rPr>
      </w:pPr>
      <w:r>
        <w:rPr>
          <w:sz w:val="22"/>
          <w:szCs w:val="22"/>
        </w:rPr>
        <w:t>Vita House reserves, at is sole discretion, the right, at any time until the conclusion or termination of the process, to amend or modify any documents in these Conditions of Tendering in any respect by way of clarification, addition, deletion or otherwise.</w:t>
      </w:r>
      <w:r w:rsidR="00EF42EF">
        <w:rPr>
          <w:sz w:val="22"/>
          <w:szCs w:val="22"/>
        </w:rPr>
        <w:t xml:space="preserve"> Vita House shall inform tenderers of any such amendments or modifications.  In particular, Vita House shall be entitled to amend, at any time during the process, the provisions of the Agreement whether on its own initiative or arising from comments made or proposed amendments or supplemental provisions suggested by tenderers.</w:t>
      </w:r>
    </w:p>
    <w:p w:rsidR="00EF42EF" w:rsidRDefault="00EF42EF" w:rsidP="00584381">
      <w:pPr>
        <w:pStyle w:val="ListParagraph"/>
        <w:numPr>
          <w:ilvl w:val="1"/>
          <w:numId w:val="1"/>
        </w:numPr>
        <w:rPr>
          <w:sz w:val="22"/>
          <w:szCs w:val="22"/>
        </w:rPr>
      </w:pPr>
      <w:r>
        <w:rPr>
          <w:sz w:val="22"/>
          <w:szCs w:val="22"/>
        </w:rPr>
        <w:t>The Conditions of Tendering and any matter related to or in any way connected with the Conditions of Tendering shall be exclusively governed by the construed in accordance with Irish law and subject to the exclusive jurisdiction of the Irish courts.</w:t>
      </w:r>
    </w:p>
    <w:p w:rsidR="00EF42EF" w:rsidRDefault="00EF42EF" w:rsidP="00584381">
      <w:pPr>
        <w:pStyle w:val="ListParagraph"/>
        <w:numPr>
          <w:ilvl w:val="1"/>
          <w:numId w:val="1"/>
        </w:numPr>
        <w:rPr>
          <w:sz w:val="22"/>
          <w:szCs w:val="22"/>
        </w:rPr>
      </w:pPr>
      <w:r>
        <w:rPr>
          <w:sz w:val="22"/>
          <w:szCs w:val="22"/>
        </w:rPr>
        <w:t>Payment will be made on receipt of invoices submitted to Vita House on an annual basis.  Payment shall be made by fee finance agreement, provided there is no dispute in relation to the provision of the relevant services.  In the event of any such dispute, payment may be withheld in respect of any disputed amount until the dispute is resolved.</w:t>
      </w:r>
    </w:p>
    <w:p w:rsidR="00EF42EF" w:rsidRDefault="00EF42EF" w:rsidP="00584381">
      <w:pPr>
        <w:pStyle w:val="ListParagraph"/>
        <w:numPr>
          <w:ilvl w:val="1"/>
          <w:numId w:val="1"/>
        </w:numPr>
        <w:rPr>
          <w:sz w:val="22"/>
          <w:szCs w:val="22"/>
        </w:rPr>
      </w:pPr>
      <w:r>
        <w:rPr>
          <w:sz w:val="22"/>
          <w:szCs w:val="22"/>
        </w:rPr>
        <w:t>All prices quoted must be inclusive of VAT.  VAT, if applicable, should be shown separately.</w:t>
      </w:r>
    </w:p>
    <w:p w:rsidR="0094235D" w:rsidRPr="00D36C51" w:rsidRDefault="00EF42EF" w:rsidP="00584381">
      <w:pPr>
        <w:pStyle w:val="ListParagraph"/>
        <w:numPr>
          <w:ilvl w:val="1"/>
          <w:numId w:val="1"/>
        </w:numPr>
        <w:ind w:left="360"/>
        <w:rPr>
          <w:sz w:val="22"/>
          <w:szCs w:val="22"/>
        </w:rPr>
      </w:pPr>
      <w:r w:rsidRPr="00D36C51">
        <w:rPr>
          <w:sz w:val="22"/>
          <w:szCs w:val="22"/>
        </w:rPr>
        <w:t>Any data, information, opinion, research, advice, report</w:t>
      </w:r>
      <w:r w:rsidR="003073F0" w:rsidRPr="00D36C51">
        <w:rPr>
          <w:sz w:val="22"/>
          <w:szCs w:val="22"/>
        </w:rPr>
        <w:t>, paper or any item specified by Vita House obtained in the course of carrying out this work or immediately afterwards, as may be specified by Vita House, will not be amenable for publication or further use without the express written authority of Vita House.</w:t>
      </w:r>
    </w:p>
    <w:p w:rsidR="00AB6BAC" w:rsidRPr="00AB6BAC" w:rsidRDefault="00AB6BAC" w:rsidP="00AB6BAC">
      <w:pPr>
        <w:rPr>
          <w:sz w:val="22"/>
          <w:szCs w:val="22"/>
        </w:rPr>
      </w:pPr>
    </w:p>
    <w:sectPr w:rsidR="00AB6BAC" w:rsidRPr="00AB6BAC" w:rsidSect="00DF52C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201"/>
    <w:multiLevelType w:val="hybridMultilevel"/>
    <w:tmpl w:val="2758A6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312B"/>
    <w:multiLevelType w:val="multilevel"/>
    <w:tmpl w:val="CF2691DC"/>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E23494"/>
    <w:multiLevelType w:val="hybridMultilevel"/>
    <w:tmpl w:val="94CE4C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4111D86"/>
    <w:multiLevelType w:val="hybridMultilevel"/>
    <w:tmpl w:val="BBCC2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71CB4"/>
    <w:multiLevelType w:val="hybridMultilevel"/>
    <w:tmpl w:val="9DD8D0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C4F58"/>
    <w:multiLevelType w:val="hybridMultilevel"/>
    <w:tmpl w:val="4E187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26AC"/>
    <w:multiLevelType w:val="multilevel"/>
    <w:tmpl w:val="CF2691DC"/>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CB82A75"/>
    <w:multiLevelType w:val="hybridMultilevel"/>
    <w:tmpl w:val="FEF8FB7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C00150"/>
    <w:multiLevelType w:val="multilevel"/>
    <w:tmpl w:val="B2B8E9A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A90218"/>
    <w:multiLevelType w:val="hybridMultilevel"/>
    <w:tmpl w:val="E810452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5A1405E"/>
    <w:multiLevelType w:val="hybridMultilevel"/>
    <w:tmpl w:val="4B00D3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800D3"/>
    <w:multiLevelType w:val="hybridMultilevel"/>
    <w:tmpl w:val="BC58F5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BE5F55"/>
    <w:multiLevelType w:val="hybridMultilevel"/>
    <w:tmpl w:val="F96AECA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DC277BE"/>
    <w:multiLevelType w:val="hybridMultilevel"/>
    <w:tmpl w:val="32844F5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48A52D51"/>
    <w:multiLevelType w:val="hybridMultilevel"/>
    <w:tmpl w:val="CA745256"/>
    <w:lvl w:ilvl="0" w:tplc="70B4376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0F3371"/>
    <w:multiLevelType w:val="hybridMultilevel"/>
    <w:tmpl w:val="7BA2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F383F"/>
    <w:multiLevelType w:val="hybridMultilevel"/>
    <w:tmpl w:val="096A6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172C9"/>
    <w:multiLevelType w:val="hybridMultilevel"/>
    <w:tmpl w:val="BCA475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53A4F"/>
    <w:multiLevelType w:val="hybridMultilevel"/>
    <w:tmpl w:val="515ED56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D067828"/>
    <w:multiLevelType w:val="hybridMultilevel"/>
    <w:tmpl w:val="D2D82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63258"/>
    <w:multiLevelType w:val="hybridMultilevel"/>
    <w:tmpl w:val="7B3C1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A3537B0"/>
    <w:multiLevelType w:val="hybridMultilevel"/>
    <w:tmpl w:val="34B805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B26C7"/>
    <w:multiLevelType w:val="hybridMultilevel"/>
    <w:tmpl w:val="AED23A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5201F"/>
    <w:multiLevelType w:val="hybridMultilevel"/>
    <w:tmpl w:val="F32A30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757E77"/>
    <w:multiLevelType w:val="hybridMultilevel"/>
    <w:tmpl w:val="FD9004FA"/>
    <w:lvl w:ilvl="0" w:tplc="18090003">
      <w:start w:val="1"/>
      <w:numFmt w:val="bullet"/>
      <w:lvlText w:val="o"/>
      <w:lvlJc w:val="left"/>
      <w:pPr>
        <w:ind w:left="1582" w:hanging="360"/>
      </w:pPr>
      <w:rPr>
        <w:rFonts w:ascii="Courier New" w:hAnsi="Courier New" w:cs="Courier New" w:hint="default"/>
      </w:rPr>
    </w:lvl>
    <w:lvl w:ilvl="1" w:tplc="18090003" w:tentative="1">
      <w:start w:val="1"/>
      <w:numFmt w:val="bullet"/>
      <w:lvlText w:val="o"/>
      <w:lvlJc w:val="left"/>
      <w:pPr>
        <w:ind w:left="2302" w:hanging="360"/>
      </w:pPr>
      <w:rPr>
        <w:rFonts w:ascii="Courier New" w:hAnsi="Courier New" w:cs="Courier New" w:hint="default"/>
      </w:rPr>
    </w:lvl>
    <w:lvl w:ilvl="2" w:tplc="18090005" w:tentative="1">
      <w:start w:val="1"/>
      <w:numFmt w:val="bullet"/>
      <w:lvlText w:val=""/>
      <w:lvlJc w:val="left"/>
      <w:pPr>
        <w:ind w:left="3022" w:hanging="360"/>
      </w:pPr>
      <w:rPr>
        <w:rFonts w:ascii="Wingdings" w:hAnsi="Wingdings" w:hint="default"/>
      </w:rPr>
    </w:lvl>
    <w:lvl w:ilvl="3" w:tplc="18090001" w:tentative="1">
      <w:start w:val="1"/>
      <w:numFmt w:val="bullet"/>
      <w:lvlText w:val=""/>
      <w:lvlJc w:val="left"/>
      <w:pPr>
        <w:ind w:left="3742" w:hanging="360"/>
      </w:pPr>
      <w:rPr>
        <w:rFonts w:ascii="Symbol" w:hAnsi="Symbol" w:hint="default"/>
      </w:rPr>
    </w:lvl>
    <w:lvl w:ilvl="4" w:tplc="18090003" w:tentative="1">
      <w:start w:val="1"/>
      <w:numFmt w:val="bullet"/>
      <w:lvlText w:val="o"/>
      <w:lvlJc w:val="left"/>
      <w:pPr>
        <w:ind w:left="4462" w:hanging="360"/>
      </w:pPr>
      <w:rPr>
        <w:rFonts w:ascii="Courier New" w:hAnsi="Courier New" w:cs="Courier New" w:hint="default"/>
      </w:rPr>
    </w:lvl>
    <w:lvl w:ilvl="5" w:tplc="18090005" w:tentative="1">
      <w:start w:val="1"/>
      <w:numFmt w:val="bullet"/>
      <w:lvlText w:val=""/>
      <w:lvlJc w:val="left"/>
      <w:pPr>
        <w:ind w:left="5182" w:hanging="360"/>
      </w:pPr>
      <w:rPr>
        <w:rFonts w:ascii="Wingdings" w:hAnsi="Wingdings" w:hint="default"/>
      </w:rPr>
    </w:lvl>
    <w:lvl w:ilvl="6" w:tplc="18090001" w:tentative="1">
      <w:start w:val="1"/>
      <w:numFmt w:val="bullet"/>
      <w:lvlText w:val=""/>
      <w:lvlJc w:val="left"/>
      <w:pPr>
        <w:ind w:left="5902" w:hanging="360"/>
      </w:pPr>
      <w:rPr>
        <w:rFonts w:ascii="Symbol" w:hAnsi="Symbol" w:hint="default"/>
      </w:rPr>
    </w:lvl>
    <w:lvl w:ilvl="7" w:tplc="18090003" w:tentative="1">
      <w:start w:val="1"/>
      <w:numFmt w:val="bullet"/>
      <w:lvlText w:val="o"/>
      <w:lvlJc w:val="left"/>
      <w:pPr>
        <w:ind w:left="6622" w:hanging="360"/>
      </w:pPr>
      <w:rPr>
        <w:rFonts w:ascii="Courier New" w:hAnsi="Courier New" w:cs="Courier New" w:hint="default"/>
      </w:rPr>
    </w:lvl>
    <w:lvl w:ilvl="8" w:tplc="18090005" w:tentative="1">
      <w:start w:val="1"/>
      <w:numFmt w:val="bullet"/>
      <w:lvlText w:val=""/>
      <w:lvlJc w:val="left"/>
      <w:pPr>
        <w:ind w:left="7342" w:hanging="360"/>
      </w:pPr>
      <w:rPr>
        <w:rFonts w:ascii="Wingdings" w:hAnsi="Wingdings" w:hint="default"/>
      </w:rPr>
    </w:lvl>
  </w:abstractNum>
  <w:abstractNum w:abstractNumId="25" w15:restartNumberingAfterBreak="0">
    <w:nsid w:val="7FB05339"/>
    <w:multiLevelType w:val="hybridMultilevel"/>
    <w:tmpl w:val="DE18C7B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3"/>
  </w:num>
  <w:num w:numId="4">
    <w:abstractNumId w:val="20"/>
  </w:num>
  <w:num w:numId="5">
    <w:abstractNumId w:val="14"/>
  </w:num>
  <w:num w:numId="6">
    <w:abstractNumId w:val="7"/>
  </w:num>
  <w:num w:numId="7">
    <w:abstractNumId w:val="12"/>
  </w:num>
  <w:num w:numId="8">
    <w:abstractNumId w:val="24"/>
  </w:num>
  <w:num w:numId="9">
    <w:abstractNumId w:val="9"/>
  </w:num>
  <w:num w:numId="10">
    <w:abstractNumId w:val="2"/>
  </w:num>
  <w:num w:numId="11">
    <w:abstractNumId w:val="25"/>
  </w:num>
  <w:num w:numId="12">
    <w:abstractNumId w:val="23"/>
  </w:num>
  <w:num w:numId="13">
    <w:abstractNumId w:val="18"/>
  </w:num>
  <w:num w:numId="14">
    <w:abstractNumId w:val="19"/>
  </w:num>
  <w:num w:numId="15">
    <w:abstractNumId w:val="16"/>
  </w:num>
  <w:num w:numId="16">
    <w:abstractNumId w:val="0"/>
  </w:num>
  <w:num w:numId="17">
    <w:abstractNumId w:val="22"/>
  </w:num>
  <w:num w:numId="18">
    <w:abstractNumId w:val="4"/>
  </w:num>
  <w:num w:numId="19">
    <w:abstractNumId w:val="15"/>
  </w:num>
  <w:num w:numId="20">
    <w:abstractNumId w:val="21"/>
  </w:num>
  <w:num w:numId="21">
    <w:abstractNumId w:val="3"/>
  </w:num>
  <w:num w:numId="22">
    <w:abstractNumId w:val="6"/>
  </w:num>
  <w:num w:numId="23">
    <w:abstractNumId w:val="10"/>
  </w:num>
  <w:num w:numId="24">
    <w:abstractNumId w:val="11"/>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A8"/>
    <w:rsid w:val="00023632"/>
    <w:rsid w:val="0002431C"/>
    <w:rsid w:val="000A219A"/>
    <w:rsid w:val="000A2E23"/>
    <w:rsid w:val="000C26E3"/>
    <w:rsid w:val="002515A9"/>
    <w:rsid w:val="0028018A"/>
    <w:rsid w:val="002976F9"/>
    <w:rsid w:val="002B0527"/>
    <w:rsid w:val="002C1CF6"/>
    <w:rsid w:val="002F00B5"/>
    <w:rsid w:val="002F578D"/>
    <w:rsid w:val="003073F0"/>
    <w:rsid w:val="00307A57"/>
    <w:rsid w:val="00310357"/>
    <w:rsid w:val="003666FA"/>
    <w:rsid w:val="00385ACA"/>
    <w:rsid w:val="00390F04"/>
    <w:rsid w:val="003B111A"/>
    <w:rsid w:val="003C53FB"/>
    <w:rsid w:val="004963A8"/>
    <w:rsid w:val="00497F22"/>
    <w:rsid w:val="00497FAF"/>
    <w:rsid w:val="004C10D0"/>
    <w:rsid w:val="004E042B"/>
    <w:rsid w:val="004E63AD"/>
    <w:rsid w:val="00517345"/>
    <w:rsid w:val="00584381"/>
    <w:rsid w:val="0059244F"/>
    <w:rsid w:val="005D317C"/>
    <w:rsid w:val="006325A8"/>
    <w:rsid w:val="006B5070"/>
    <w:rsid w:val="006C2976"/>
    <w:rsid w:val="006E5C16"/>
    <w:rsid w:val="007276B2"/>
    <w:rsid w:val="0073473C"/>
    <w:rsid w:val="00843727"/>
    <w:rsid w:val="008F1DD9"/>
    <w:rsid w:val="0094235D"/>
    <w:rsid w:val="009E7822"/>
    <w:rsid w:val="00A028B8"/>
    <w:rsid w:val="00A24022"/>
    <w:rsid w:val="00AB6BAC"/>
    <w:rsid w:val="00AE52D9"/>
    <w:rsid w:val="00B52439"/>
    <w:rsid w:val="00BA3B37"/>
    <w:rsid w:val="00BE2A25"/>
    <w:rsid w:val="00C138E2"/>
    <w:rsid w:val="00C24AD9"/>
    <w:rsid w:val="00C25E59"/>
    <w:rsid w:val="00CC388F"/>
    <w:rsid w:val="00D36C51"/>
    <w:rsid w:val="00D43DBC"/>
    <w:rsid w:val="00D57FE5"/>
    <w:rsid w:val="00DE05C1"/>
    <w:rsid w:val="00DF52C8"/>
    <w:rsid w:val="00E103BC"/>
    <w:rsid w:val="00E964F7"/>
    <w:rsid w:val="00EC3749"/>
    <w:rsid w:val="00EF42EF"/>
    <w:rsid w:val="00F44FC2"/>
    <w:rsid w:val="00F95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9F45"/>
  <w15:chartTrackingRefBased/>
  <w15:docId w15:val="{7D5721A7-DE34-43D4-8CA2-95EF440E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C8"/>
  </w:style>
  <w:style w:type="paragraph" w:styleId="Heading1">
    <w:name w:val="heading 1"/>
    <w:basedOn w:val="Normal"/>
    <w:next w:val="Normal"/>
    <w:link w:val="Heading1Char"/>
    <w:uiPriority w:val="9"/>
    <w:qFormat/>
    <w:rsid w:val="00DF52C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F52C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F52C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F52C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F52C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F52C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F52C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F52C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F52C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C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F52C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F52C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F52C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F52C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F52C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F52C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F52C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F52C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F52C8"/>
    <w:pPr>
      <w:spacing w:line="240" w:lineRule="auto"/>
    </w:pPr>
    <w:rPr>
      <w:b/>
      <w:bCs/>
      <w:smallCaps/>
      <w:color w:val="595959" w:themeColor="text1" w:themeTint="A6"/>
    </w:rPr>
  </w:style>
  <w:style w:type="paragraph" w:styleId="Title">
    <w:name w:val="Title"/>
    <w:basedOn w:val="Normal"/>
    <w:next w:val="Normal"/>
    <w:link w:val="TitleChar"/>
    <w:uiPriority w:val="10"/>
    <w:qFormat/>
    <w:rsid w:val="00DF52C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F52C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F52C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F52C8"/>
    <w:rPr>
      <w:rFonts w:asciiTheme="majorHAnsi" w:eastAsiaTheme="majorEastAsia" w:hAnsiTheme="majorHAnsi" w:cstheme="majorBidi"/>
      <w:sz w:val="30"/>
      <w:szCs w:val="30"/>
    </w:rPr>
  </w:style>
  <w:style w:type="character" w:styleId="Strong">
    <w:name w:val="Strong"/>
    <w:basedOn w:val="DefaultParagraphFont"/>
    <w:uiPriority w:val="22"/>
    <w:qFormat/>
    <w:rsid w:val="00DF52C8"/>
    <w:rPr>
      <w:b/>
      <w:bCs/>
    </w:rPr>
  </w:style>
  <w:style w:type="character" w:styleId="Emphasis">
    <w:name w:val="Emphasis"/>
    <w:basedOn w:val="DefaultParagraphFont"/>
    <w:uiPriority w:val="20"/>
    <w:qFormat/>
    <w:rsid w:val="00DF52C8"/>
    <w:rPr>
      <w:i/>
      <w:iCs/>
      <w:color w:val="70AD47" w:themeColor="accent6"/>
    </w:rPr>
  </w:style>
  <w:style w:type="paragraph" w:styleId="NoSpacing">
    <w:name w:val="No Spacing"/>
    <w:uiPriority w:val="1"/>
    <w:qFormat/>
    <w:rsid w:val="00DF52C8"/>
    <w:pPr>
      <w:spacing w:after="0" w:line="240" w:lineRule="auto"/>
    </w:pPr>
  </w:style>
  <w:style w:type="paragraph" w:styleId="Quote">
    <w:name w:val="Quote"/>
    <w:basedOn w:val="Normal"/>
    <w:next w:val="Normal"/>
    <w:link w:val="QuoteChar"/>
    <w:uiPriority w:val="29"/>
    <w:qFormat/>
    <w:rsid w:val="00DF52C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F52C8"/>
    <w:rPr>
      <w:i/>
      <w:iCs/>
      <w:color w:val="262626" w:themeColor="text1" w:themeTint="D9"/>
    </w:rPr>
  </w:style>
  <w:style w:type="paragraph" w:styleId="IntenseQuote">
    <w:name w:val="Intense Quote"/>
    <w:basedOn w:val="Normal"/>
    <w:next w:val="Normal"/>
    <w:link w:val="IntenseQuoteChar"/>
    <w:uiPriority w:val="30"/>
    <w:qFormat/>
    <w:rsid w:val="00DF52C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F52C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F52C8"/>
    <w:rPr>
      <w:i/>
      <w:iCs/>
    </w:rPr>
  </w:style>
  <w:style w:type="character" w:styleId="IntenseEmphasis">
    <w:name w:val="Intense Emphasis"/>
    <w:basedOn w:val="DefaultParagraphFont"/>
    <w:uiPriority w:val="21"/>
    <w:qFormat/>
    <w:rsid w:val="00DF52C8"/>
    <w:rPr>
      <w:b/>
      <w:bCs/>
      <w:i/>
      <w:iCs/>
    </w:rPr>
  </w:style>
  <w:style w:type="character" w:styleId="SubtleReference">
    <w:name w:val="Subtle Reference"/>
    <w:basedOn w:val="DefaultParagraphFont"/>
    <w:uiPriority w:val="31"/>
    <w:qFormat/>
    <w:rsid w:val="00DF52C8"/>
    <w:rPr>
      <w:smallCaps/>
      <w:color w:val="595959" w:themeColor="text1" w:themeTint="A6"/>
    </w:rPr>
  </w:style>
  <w:style w:type="character" w:styleId="IntenseReference">
    <w:name w:val="Intense Reference"/>
    <w:basedOn w:val="DefaultParagraphFont"/>
    <w:uiPriority w:val="32"/>
    <w:qFormat/>
    <w:rsid w:val="00DF52C8"/>
    <w:rPr>
      <w:b/>
      <w:bCs/>
      <w:smallCaps/>
      <w:color w:val="70AD47" w:themeColor="accent6"/>
    </w:rPr>
  </w:style>
  <w:style w:type="character" w:styleId="BookTitle">
    <w:name w:val="Book Title"/>
    <w:basedOn w:val="DefaultParagraphFont"/>
    <w:uiPriority w:val="33"/>
    <w:qFormat/>
    <w:rsid w:val="00DF52C8"/>
    <w:rPr>
      <w:b/>
      <w:bCs/>
      <w:caps w:val="0"/>
      <w:smallCaps/>
      <w:spacing w:val="7"/>
      <w:sz w:val="21"/>
      <w:szCs w:val="21"/>
    </w:rPr>
  </w:style>
  <w:style w:type="paragraph" w:styleId="TOCHeading">
    <w:name w:val="TOC Heading"/>
    <w:basedOn w:val="Heading1"/>
    <w:next w:val="Normal"/>
    <w:uiPriority w:val="39"/>
    <w:semiHidden/>
    <w:unhideWhenUsed/>
    <w:qFormat/>
    <w:rsid w:val="00DF52C8"/>
    <w:pPr>
      <w:outlineLvl w:val="9"/>
    </w:pPr>
  </w:style>
  <w:style w:type="paragraph" w:styleId="ListParagraph">
    <w:name w:val="List Paragraph"/>
    <w:basedOn w:val="Normal"/>
    <w:uiPriority w:val="34"/>
    <w:qFormat/>
    <w:rsid w:val="00A028B8"/>
    <w:pPr>
      <w:ind w:left="720"/>
      <w:contextualSpacing/>
    </w:pPr>
  </w:style>
  <w:style w:type="character" w:styleId="Hyperlink">
    <w:name w:val="Hyperlink"/>
    <w:basedOn w:val="DefaultParagraphFont"/>
    <w:uiPriority w:val="99"/>
    <w:unhideWhenUsed/>
    <w:rsid w:val="00390F04"/>
    <w:rPr>
      <w:color w:val="0563C1" w:themeColor="hyperlink"/>
      <w:u w:val="single"/>
    </w:rPr>
  </w:style>
  <w:style w:type="paragraph" w:styleId="BalloonText">
    <w:name w:val="Balloon Text"/>
    <w:basedOn w:val="Normal"/>
    <w:link w:val="BalloonTextChar"/>
    <w:uiPriority w:val="99"/>
    <w:semiHidden/>
    <w:unhideWhenUsed/>
    <w:rsid w:val="00734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20371">
      <w:bodyDiv w:val="1"/>
      <w:marLeft w:val="0"/>
      <w:marRight w:val="0"/>
      <w:marTop w:val="0"/>
      <w:marBottom w:val="0"/>
      <w:divBdr>
        <w:top w:val="none" w:sz="0" w:space="0" w:color="auto"/>
        <w:left w:val="none" w:sz="0" w:space="0" w:color="auto"/>
        <w:bottom w:val="none" w:sz="0" w:space="0" w:color="auto"/>
        <w:right w:val="none" w:sz="0" w:space="0" w:color="auto"/>
      </w:divBdr>
    </w:div>
    <w:div w:id="890269248">
      <w:bodyDiv w:val="1"/>
      <w:marLeft w:val="0"/>
      <w:marRight w:val="0"/>
      <w:marTop w:val="0"/>
      <w:marBottom w:val="0"/>
      <w:divBdr>
        <w:top w:val="none" w:sz="0" w:space="0" w:color="auto"/>
        <w:left w:val="none" w:sz="0" w:space="0" w:color="auto"/>
        <w:bottom w:val="none" w:sz="0" w:space="0" w:color="auto"/>
        <w:right w:val="none" w:sz="0" w:space="0" w:color="auto"/>
      </w:divBdr>
    </w:div>
    <w:div w:id="1638873645">
      <w:bodyDiv w:val="1"/>
      <w:marLeft w:val="0"/>
      <w:marRight w:val="0"/>
      <w:marTop w:val="0"/>
      <w:marBottom w:val="0"/>
      <w:divBdr>
        <w:top w:val="none" w:sz="0" w:space="0" w:color="auto"/>
        <w:left w:val="none" w:sz="0" w:space="0" w:color="auto"/>
        <w:bottom w:val="none" w:sz="0" w:space="0" w:color="auto"/>
        <w:right w:val="none" w:sz="0" w:space="0" w:color="auto"/>
      </w:divBdr>
    </w:div>
    <w:div w:id="18724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house.org/" TargetMode="External"/><Relationship Id="rId3" Type="http://schemas.openxmlformats.org/officeDocument/2006/relationships/settings" Target="settings.xml"/><Relationship Id="rId7" Type="http://schemas.openxmlformats.org/officeDocument/2006/relationships/hyperlink" Target="mailto:lauramullooly@vita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ahouse.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Suzanne</dc:creator>
  <cp:keywords/>
  <dc:description/>
  <cp:lastModifiedBy>Veronica</cp:lastModifiedBy>
  <cp:revision>6</cp:revision>
  <cp:lastPrinted>2025-04-22T15:39:00Z</cp:lastPrinted>
  <dcterms:created xsi:type="dcterms:W3CDTF">2025-05-27T10:36:00Z</dcterms:created>
  <dcterms:modified xsi:type="dcterms:W3CDTF">2025-05-27T10:44:00Z</dcterms:modified>
</cp:coreProperties>
</file>