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7FF5" w14:textId="77777777" w:rsidR="00CF2D8C" w:rsidRDefault="00CF2D8C">
      <w:pPr>
        <w:rPr>
          <w:b/>
          <w:bCs/>
          <w:sz w:val="32"/>
          <w:szCs w:val="32"/>
          <w:u w:val="single"/>
        </w:rPr>
      </w:pPr>
    </w:p>
    <w:p w14:paraId="7F8EAA2C" w14:textId="77777777" w:rsidR="00CF2D8C" w:rsidRDefault="00000000">
      <w:pPr>
        <w:rPr>
          <w:b/>
          <w:bCs/>
          <w:sz w:val="32"/>
          <w:szCs w:val="32"/>
          <w:u w:val="single"/>
        </w:rPr>
      </w:pPr>
      <w:r>
        <w:rPr>
          <w:noProof/>
        </w:rPr>
        <w:drawing>
          <wp:anchor distT="0" distB="0" distL="0" distR="0" simplePos="0" relativeHeight="251655168" behindDoc="0" locked="0" layoutInCell="0" allowOverlap="1" wp14:anchorId="7232C39E" wp14:editId="208778EA">
            <wp:simplePos x="0" y="0"/>
            <wp:positionH relativeFrom="column">
              <wp:posOffset>1939925</wp:posOffset>
            </wp:positionH>
            <wp:positionV relativeFrom="paragraph">
              <wp:posOffset>-50800</wp:posOffset>
            </wp:positionV>
            <wp:extent cx="1545590" cy="1045845"/>
            <wp:effectExtent l="0" t="0" r="0" b="0"/>
            <wp:wrapTopAndBottom/>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  Description automatically generated"/>
                    <pic:cNvPicPr>
                      <a:picLocks noChangeAspect="1" noChangeArrowheads="1"/>
                    </pic:cNvPicPr>
                  </pic:nvPicPr>
                  <pic:blipFill>
                    <a:blip r:embed="rId7"/>
                    <a:stretch>
                      <a:fillRect/>
                    </a:stretch>
                  </pic:blipFill>
                  <pic:spPr bwMode="auto">
                    <a:xfrm>
                      <a:off x="0" y="0"/>
                      <a:ext cx="1545590" cy="1045845"/>
                    </a:xfrm>
                    <a:prstGeom prst="rect">
                      <a:avLst/>
                    </a:prstGeom>
                    <a:noFill/>
                  </pic:spPr>
                </pic:pic>
              </a:graphicData>
            </a:graphic>
          </wp:anchor>
        </w:drawing>
      </w:r>
    </w:p>
    <w:p w14:paraId="1F2367D3" w14:textId="48F59255" w:rsidR="00CF2D8C" w:rsidRDefault="00000000">
      <w:pPr>
        <w:jc w:val="center"/>
      </w:pPr>
      <w:r>
        <w:rPr>
          <w:b/>
          <w:bCs/>
          <w:sz w:val="32"/>
          <w:szCs w:val="32"/>
        </w:rPr>
        <w:t xml:space="preserve">Task Force Co-ordinator: Job Description </w:t>
      </w:r>
    </w:p>
    <w:p w14:paraId="2C52DDA6" w14:textId="77777777" w:rsidR="00CF2D8C" w:rsidRDefault="00CF2D8C">
      <w:pPr>
        <w:rPr>
          <w:sz w:val="24"/>
          <w:szCs w:val="24"/>
        </w:rPr>
      </w:pPr>
    </w:p>
    <w:p w14:paraId="020DF489" w14:textId="77777777" w:rsidR="00CF2D8C" w:rsidRDefault="00CF2D8C">
      <w:pPr>
        <w:rPr>
          <w:sz w:val="24"/>
          <w:szCs w:val="24"/>
        </w:rPr>
      </w:pPr>
    </w:p>
    <w:tbl>
      <w:tblPr>
        <w:tblStyle w:val="TableGrid"/>
        <w:tblW w:w="9016" w:type="dxa"/>
        <w:jc w:val="center"/>
        <w:tblLayout w:type="fixed"/>
        <w:tblLook w:val="04A0" w:firstRow="1" w:lastRow="0" w:firstColumn="1" w:lastColumn="0" w:noHBand="0" w:noVBand="1"/>
      </w:tblPr>
      <w:tblGrid>
        <w:gridCol w:w="9016"/>
      </w:tblGrid>
      <w:tr w:rsidR="00CF2D8C" w14:paraId="234632DD" w14:textId="77777777">
        <w:trPr>
          <w:trHeight w:val="851"/>
          <w:jc w:val="center"/>
        </w:trPr>
        <w:tc>
          <w:tcPr>
            <w:tcW w:w="9016" w:type="dxa"/>
            <w:vAlign w:val="center"/>
          </w:tcPr>
          <w:p w14:paraId="6C6AED54" w14:textId="77777777" w:rsidR="00CF2D8C" w:rsidRDefault="00000000">
            <w:pPr>
              <w:spacing w:before="113" w:line="276" w:lineRule="auto"/>
              <w:jc w:val="center"/>
              <w:rPr>
                <w:b/>
                <w:bCs/>
                <w:sz w:val="24"/>
                <w:szCs w:val="24"/>
                <w:u w:val="single"/>
              </w:rPr>
            </w:pPr>
            <w:r>
              <w:rPr>
                <w:b/>
                <w:bCs/>
                <w:color w:val="0D0D0D" w:themeColor="text1" w:themeTint="F2"/>
                <w:sz w:val="24"/>
                <w:szCs w:val="24"/>
                <w:u w:val="single"/>
              </w:rPr>
              <w:t>Overall purpose of the job</w:t>
            </w:r>
          </w:p>
          <w:p w14:paraId="5D1FAD3F" w14:textId="77777777" w:rsidR="00CF2D8C" w:rsidRDefault="00000000">
            <w:pPr>
              <w:spacing w:before="57" w:after="57" w:line="276" w:lineRule="auto"/>
            </w:pPr>
            <w:r>
              <w:rPr>
                <w:color w:val="0D0D0D" w:themeColor="text1" w:themeTint="F2"/>
              </w:rPr>
              <w:t xml:space="preserve">To promote, support and lead collaboration between all relevant organisations in tackling the causes and consequences of substance misuse in the Canal Communities area, and in implementing the </w:t>
            </w:r>
            <w:r>
              <w:rPr>
                <w:i/>
                <w:iCs/>
                <w:color w:val="0D0D0D" w:themeColor="text1" w:themeTint="F2"/>
              </w:rPr>
              <w:t>Strategic Plan 2023-2026</w:t>
            </w:r>
            <w:r>
              <w:rPr>
                <w:color w:val="0D0D0D" w:themeColor="text1" w:themeTint="F2"/>
              </w:rPr>
              <w:t xml:space="preserve"> of the Canal Communities Local Drug and Alcohol Task Force. Adopting a community development approach, the Co-ordinator will play a pivotal role in driving the work of the Task Force and will manage its day-to-day operation.</w:t>
            </w:r>
          </w:p>
        </w:tc>
      </w:tr>
      <w:tr w:rsidR="00CF2D8C" w14:paraId="16FA8732" w14:textId="77777777">
        <w:trPr>
          <w:trHeight w:val="851"/>
          <w:jc w:val="center"/>
        </w:trPr>
        <w:tc>
          <w:tcPr>
            <w:tcW w:w="9016" w:type="dxa"/>
            <w:tcBorders>
              <w:top w:val="nil"/>
            </w:tcBorders>
            <w:vAlign w:val="center"/>
          </w:tcPr>
          <w:p w14:paraId="571A0E1E" w14:textId="77777777" w:rsidR="00CF2D8C" w:rsidRDefault="00000000">
            <w:pPr>
              <w:spacing w:before="113" w:line="276" w:lineRule="auto"/>
              <w:ind w:left="1560" w:hanging="1560"/>
              <w:jc w:val="center"/>
              <w:rPr>
                <w:u w:val="single"/>
              </w:rPr>
            </w:pPr>
            <w:r>
              <w:rPr>
                <w:b/>
                <w:color w:val="000000" w:themeColor="text1"/>
                <w:sz w:val="24"/>
                <w:szCs w:val="24"/>
                <w:u w:val="single"/>
              </w:rPr>
              <w:t>Reporting arrangements</w:t>
            </w:r>
          </w:p>
          <w:p w14:paraId="1D9C79D4" w14:textId="64825E54" w:rsidR="00CF2D8C" w:rsidRDefault="00000000">
            <w:pPr>
              <w:spacing w:before="57" w:after="57" w:line="276" w:lineRule="auto"/>
              <w:ind w:right="454"/>
            </w:pPr>
            <w:r>
              <w:rPr>
                <w:color w:val="0D0D0D" w:themeColor="text1" w:themeTint="F2"/>
              </w:rPr>
              <w:t xml:space="preserve">The Co-ordinator will be responsible to, and guided by, the Board of the </w:t>
            </w:r>
            <w:r>
              <w:rPr>
                <w:bCs/>
                <w:color w:val="000000" w:themeColor="text1"/>
              </w:rPr>
              <w:t>Canal Communities Regional Addiction Service Company Limited by Guarantee (CCRAS CLG), the legal entity through which the Task Force operates.</w:t>
            </w:r>
            <w:r>
              <w:rPr>
                <w:color w:val="0D0D0D" w:themeColor="text1" w:themeTint="F2"/>
              </w:rPr>
              <w:t xml:space="preserve"> She/he will report to the Chairperson on an on-going basis. The Co-ordinator will be required to attend all meetings of the Board and of the Task Force, and will submit a monthly written report for th</w:t>
            </w:r>
            <w:r w:rsidR="00E24E7D">
              <w:rPr>
                <w:color w:val="0D0D0D" w:themeColor="text1" w:themeTint="F2"/>
              </w:rPr>
              <w:t>ese meetings</w:t>
            </w:r>
            <w:r>
              <w:rPr>
                <w:color w:val="0D0D0D" w:themeColor="text1" w:themeTint="F2"/>
              </w:rPr>
              <w:t>. (Please note that the Chairperson of the Task Force is also always Chairperson of the Board of CCRAS CLG.)</w:t>
            </w:r>
          </w:p>
        </w:tc>
      </w:tr>
      <w:tr w:rsidR="00CF2D8C" w14:paraId="2AA46B4D" w14:textId="77777777">
        <w:trPr>
          <w:trHeight w:val="851"/>
          <w:jc w:val="center"/>
        </w:trPr>
        <w:tc>
          <w:tcPr>
            <w:tcW w:w="9016" w:type="dxa"/>
            <w:vAlign w:val="center"/>
          </w:tcPr>
          <w:p w14:paraId="24214017" w14:textId="77777777" w:rsidR="00CF2D8C" w:rsidRDefault="00000000">
            <w:pPr>
              <w:pStyle w:val="ListParagraph"/>
              <w:spacing w:line="276" w:lineRule="auto"/>
              <w:ind w:left="681" w:hanging="397"/>
              <w:contextualSpacing w:val="0"/>
              <w:jc w:val="center"/>
              <w:rPr>
                <w:b/>
                <w:bCs/>
                <w:sz w:val="24"/>
                <w:szCs w:val="24"/>
                <w:u w:val="single"/>
              </w:rPr>
            </w:pPr>
            <w:r>
              <w:rPr>
                <w:b/>
                <w:bCs/>
                <w:sz w:val="24"/>
                <w:szCs w:val="24"/>
                <w:u w:val="single"/>
              </w:rPr>
              <w:t>Main duties and responsibilities</w:t>
            </w:r>
          </w:p>
        </w:tc>
      </w:tr>
      <w:tr w:rsidR="00CF2D8C" w14:paraId="4515F421" w14:textId="77777777">
        <w:trPr>
          <w:trHeight w:val="851"/>
          <w:jc w:val="center"/>
        </w:trPr>
        <w:tc>
          <w:tcPr>
            <w:tcW w:w="9016" w:type="dxa"/>
            <w:tcBorders>
              <w:top w:val="nil"/>
            </w:tcBorders>
            <w:vAlign w:val="center"/>
          </w:tcPr>
          <w:p w14:paraId="00B5449D" w14:textId="77777777" w:rsidR="00CF2D8C" w:rsidRDefault="00000000">
            <w:pPr>
              <w:pStyle w:val="ListParagraph"/>
              <w:numPr>
                <w:ilvl w:val="0"/>
                <w:numId w:val="1"/>
              </w:numPr>
              <w:spacing w:line="276" w:lineRule="auto"/>
              <w:ind w:left="681" w:hanging="397"/>
              <w:contextualSpacing w:val="0"/>
            </w:pPr>
            <w:r>
              <w:rPr>
                <w:color w:val="0D0D0D" w:themeColor="text1" w:themeTint="F2"/>
              </w:rPr>
              <w:t>To</w:t>
            </w:r>
            <w:r>
              <w:rPr>
                <w:color w:val="0D0D0D" w:themeColor="text1" w:themeTint="F2"/>
                <w:spacing w:val="-2"/>
              </w:rPr>
              <w:t xml:space="preserve"> </w:t>
            </w:r>
            <w:r>
              <w:rPr>
                <w:color w:val="0D0D0D" w:themeColor="text1" w:themeTint="F2"/>
              </w:rPr>
              <w:t>work</w:t>
            </w:r>
            <w:r>
              <w:rPr>
                <w:color w:val="0D0D0D" w:themeColor="text1" w:themeTint="F2"/>
                <w:spacing w:val="-3"/>
              </w:rPr>
              <w:t xml:space="preserve"> </w:t>
            </w:r>
            <w:r>
              <w:rPr>
                <w:color w:val="0D0D0D" w:themeColor="text1" w:themeTint="F2"/>
              </w:rPr>
              <w:t>with</w:t>
            </w:r>
            <w:r>
              <w:rPr>
                <w:color w:val="0D0D0D" w:themeColor="text1" w:themeTint="F2"/>
                <w:spacing w:val="-2"/>
              </w:rPr>
              <w:t xml:space="preserve"> </w:t>
            </w:r>
            <w:r>
              <w:rPr>
                <w:color w:val="0D0D0D" w:themeColor="text1" w:themeTint="F2"/>
              </w:rPr>
              <w:t>key</w:t>
            </w:r>
            <w:r>
              <w:rPr>
                <w:color w:val="0D0D0D" w:themeColor="text1" w:themeTint="F2"/>
                <w:spacing w:val="-4"/>
              </w:rPr>
              <w:t xml:space="preserve"> </w:t>
            </w:r>
            <w:r>
              <w:rPr>
                <w:color w:val="0D0D0D" w:themeColor="text1" w:themeTint="F2"/>
              </w:rPr>
              <w:t>stakeholders</w:t>
            </w:r>
            <w:r>
              <w:rPr>
                <w:color w:val="0D0D0D" w:themeColor="text1" w:themeTint="F2"/>
                <w:spacing w:val="-1"/>
              </w:rPr>
              <w:t xml:space="preserve"> </w:t>
            </w:r>
            <w:r>
              <w:rPr>
                <w:color w:val="0D0D0D" w:themeColor="text1" w:themeTint="F2"/>
              </w:rPr>
              <w:t>to</w:t>
            </w:r>
            <w:r>
              <w:rPr>
                <w:color w:val="0D0D0D" w:themeColor="text1" w:themeTint="F2"/>
                <w:spacing w:val="-4"/>
              </w:rPr>
              <w:t xml:space="preserve"> </w:t>
            </w:r>
            <w:r>
              <w:rPr>
                <w:color w:val="0D0D0D" w:themeColor="text1" w:themeTint="F2"/>
              </w:rPr>
              <w:t>highlight and</w:t>
            </w:r>
            <w:r>
              <w:rPr>
                <w:color w:val="0D0D0D" w:themeColor="text1" w:themeTint="F2"/>
                <w:spacing w:val="-4"/>
              </w:rPr>
              <w:t xml:space="preserve"> </w:t>
            </w:r>
            <w:r>
              <w:rPr>
                <w:color w:val="0D0D0D" w:themeColor="text1" w:themeTint="F2"/>
              </w:rPr>
              <w:t>respond</w:t>
            </w:r>
            <w:r>
              <w:rPr>
                <w:color w:val="0D0D0D" w:themeColor="text1" w:themeTint="F2"/>
                <w:spacing w:val="-2"/>
              </w:rPr>
              <w:t xml:space="preserve"> </w:t>
            </w:r>
            <w:r>
              <w:rPr>
                <w:color w:val="0D0D0D" w:themeColor="text1" w:themeTint="F2"/>
              </w:rPr>
              <w:t>to</w:t>
            </w:r>
            <w:r>
              <w:rPr>
                <w:color w:val="0D0D0D" w:themeColor="text1" w:themeTint="F2"/>
                <w:spacing w:val="-4"/>
              </w:rPr>
              <w:t xml:space="preserve"> </w:t>
            </w:r>
            <w:r>
              <w:rPr>
                <w:color w:val="0D0D0D" w:themeColor="text1" w:themeTint="F2"/>
              </w:rPr>
              <w:t>the</w:t>
            </w:r>
            <w:r>
              <w:rPr>
                <w:color w:val="0D0D0D" w:themeColor="text1" w:themeTint="F2"/>
                <w:spacing w:val="-4"/>
              </w:rPr>
              <w:t xml:space="preserve"> </w:t>
            </w:r>
            <w:r>
              <w:rPr>
                <w:color w:val="0D0D0D" w:themeColor="text1" w:themeTint="F2"/>
              </w:rPr>
              <w:t>causes</w:t>
            </w:r>
            <w:r>
              <w:rPr>
                <w:color w:val="0D0D0D" w:themeColor="text1" w:themeTint="F2"/>
                <w:spacing w:val="-4"/>
              </w:rPr>
              <w:t xml:space="preserve"> </w:t>
            </w:r>
            <w:r>
              <w:rPr>
                <w:color w:val="0D0D0D" w:themeColor="text1" w:themeTint="F2"/>
              </w:rPr>
              <w:t>and</w:t>
            </w:r>
            <w:r>
              <w:rPr>
                <w:color w:val="0D0D0D" w:themeColor="text1" w:themeTint="F2"/>
                <w:spacing w:val="-4"/>
              </w:rPr>
              <w:t xml:space="preserve"> </w:t>
            </w:r>
            <w:r>
              <w:rPr>
                <w:color w:val="0D0D0D" w:themeColor="text1" w:themeTint="F2"/>
              </w:rPr>
              <w:t>consequences of substance misuse and addiction in the Canal Communities area.</w:t>
            </w:r>
          </w:p>
        </w:tc>
      </w:tr>
      <w:tr w:rsidR="00CF2D8C" w14:paraId="168199FF" w14:textId="77777777">
        <w:trPr>
          <w:trHeight w:val="851"/>
          <w:jc w:val="center"/>
        </w:trPr>
        <w:tc>
          <w:tcPr>
            <w:tcW w:w="9016" w:type="dxa"/>
            <w:vAlign w:val="center"/>
          </w:tcPr>
          <w:p w14:paraId="76437F8F" w14:textId="77777777" w:rsidR="00CF2D8C" w:rsidRDefault="00000000">
            <w:pPr>
              <w:pStyle w:val="ListParagraph"/>
              <w:numPr>
                <w:ilvl w:val="0"/>
                <w:numId w:val="1"/>
              </w:numPr>
              <w:spacing w:line="276" w:lineRule="auto"/>
              <w:ind w:left="681" w:hanging="397"/>
              <w:contextualSpacing w:val="0"/>
            </w:pPr>
            <w:r>
              <w:rPr>
                <w:color w:val="0D0D0D" w:themeColor="text1" w:themeTint="F2"/>
              </w:rPr>
              <w:t>To highlight drug harms and policy harms and work to develop more sustainable policy responses to drug and alcohol misuse locally and nationally.</w:t>
            </w:r>
          </w:p>
        </w:tc>
      </w:tr>
      <w:tr w:rsidR="00CF2D8C" w14:paraId="0D49FE78" w14:textId="77777777">
        <w:trPr>
          <w:trHeight w:val="1304"/>
          <w:jc w:val="center"/>
        </w:trPr>
        <w:tc>
          <w:tcPr>
            <w:tcW w:w="9016" w:type="dxa"/>
            <w:vAlign w:val="center"/>
          </w:tcPr>
          <w:p w14:paraId="04FD87A9" w14:textId="77777777" w:rsidR="00CF2D8C" w:rsidRDefault="00000000">
            <w:pPr>
              <w:pStyle w:val="ListParagraph"/>
              <w:numPr>
                <w:ilvl w:val="0"/>
                <w:numId w:val="1"/>
              </w:numPr>
              <w:spacing w:line="276" w:lineRule="auto"/>
              <w:ind w:left="681" w:hanging="397"/>
              <w:contextualSpacing w:val="0"/>
            </w:pPr>
            <w:r>
              <w:rPr>
                <w:color w:val="0D0D0D" w:themeColor="text1" w:themeTint="F2"/>
              </w:rPr>
              <w:t xml:space="preserve">To adopt and promote a community development approach in tackling the causes and consequences of drug and alcohol misuse, and to advocate alongside, and on behalf of, local communities. </w:t>
            </w:r>
          </w:p>
        </w:tc>
      </w:tr>
      <w:tr w:rsidR="00CF2D8C" w14:paraId="13521649" w14:textId="77777777" w:rsidTr="00AE57A6">
        <w:trPr>
          <w:trHeight w:val="1304"/>
          <w:jc w:val="center"/>
        </w:trPr>
        <w:tc>
          <w:tcPr>
            <w:tcW w:w="9016" w:type="dxa"/>
            <w:tcBorders>
              <w:top w:val="nil"/>
              <w:bottom w:val="single" w:sz="4" w:space="0" w:color="auto"/>
            </w:tcBorders>
            <w:vAlign w:val="center"/>
          </w:tcPr>
          <w:p w14:paraId="6AB3EB2D" w14:textId="77777777" w:rsidR="00CF2D8C" w:rsidRDefault="00000000">
            <w:pPr>
              <w:pStyle w:val="ListParagraph"/>
              <w:numPr>
                <w:ilvl w:val="0"/>
                <w:numId w:val="1"/>
              </w:numPr>
              <w:spacing w:line="276" w:lineRule="auto"/>
              <w:ind w:left="681" w:hanging="397"/>
              <w:contextualSpacing w:val="0"/>
              <w:rPr>
                <w:color w:val="000000"/>
              </w:rPr>
            </w:pPr>
            <w:r>
              <w:rPr>
                <w:color w:val="000000"/>
              </w:rPr>
              <w:t>To facilitate multi-sectoral collaboration and inter-agency working at local and national level, building positive and productive relationships with all stakeholders, and promoting joint analysis, planning, action and evaluation.</w:t>
            </w:r>
          </w:p>
        </w:tc>
      </w:tr>
      <w:tr w:rsidR="00CF2D8C" w14:paraId="25A3BA30" w14:textId="77777777" w:rsidTr="00AE57A6">
        <w:trPr>
          <w:trHeight w:val="1304"/>
          <w:jc w:val="center"/>
        </w:trPr>
        <w:tc>
          <w:tcPr>
            <w:tcW w:w="9016" w:type="dxa"/>
            <w:tcBorders>
              <w:top w:val="single" w:sz="4" w:space="0" w:color="auto"/>
            </w:tcBorders>
            <w:vAlign w:val="center"/>
          </w:tcPr>
          <w:p w14:paraId="4F2DA870" w14:textId="77777777" w:rsidR="00CF2D8C" w:rsidRDefault="00000000">
            <w:pPr>
              <w:pStyle w:val="ListParagraph"/>
              <w:numPr>
                <w:ilvl w:val="0"/>
                <w:numId w:val="1"/>
              </w:numPr>
              <w:spacing w:line="276" w:lineRule="auto"/>
              <w:ind w:left="681" w:hanging="397"/>
              <w:contextualSpacing w:val="0"/>
            </w:pPr>
            <w:r>
              <w:lastRenderedPageBreak/>
              <w:t xml:space="preserve">To </w:t>
            </w:r>
            <w:r>
              <w:rPr>
                <w:color w:val="000000" w:themeColor="text1"/>
                <w:lang w:eastAsia="zh-CN"/>
              </w:rPr>
              <w:t xml:space="preserve">promote and support the participation of the community, including current and former service users, affected family members and members of minority groups, </w:t>
            </w:r>
            <w:r>
              <w:t>in the activities of the Task Force and in all relevant decision-making fora.</w:t>
            </w:r>
          </w:p>
        </w:tc>
      </w:tr>
      <w:tr w:rsidR="00CF2D8C" w14:paraId="1D708F05" w14:textId="77777777">
        <w:trPr>
          <w:trHeight w:val="851"/>
          <w:jc w:val="center"/>
        </w:trPr>
        <w:tc>
          <w:tcPr>
            <w:tcW w:w="9016" w:type="dxa"/>
            <w:vAlign w:val="center"/>
          </w:tcPr>
          <w:p w14:paraId="152A93B0" w14:textId="77777777" w:rsidR="00CF2D8C" w:rsidRDefault="00000000">
            <w:pPr>
              <w:pStyle w:val="ListParagraph"/>
              <w:numPr>
                <w:ilvl w:val="0"/>
                <w:numId w:val="1"/>
              </w:numPr>
              <w:spacing w:line="276" w:lineRule="auto"/>
              <w:ind w:left="681" w:hanging="397"/>
              <w:contextualSpacing w:val="0"/>
            </w:pPr>
            <w:r>
              <w:rPr>
                <w:color w:val="0D0D0D" w:themeColor="text1" w:themeTint="F2"/>
              </w:rPr>
              <w:t>To assist the Task Force, the CCRAS CLG Board and its Chairperson in providing governance, leadership, guidance, and management</w:t>
            </w:r>
            <w:r>
              <w:rPr>
                <w:color w:val="000000"/>
              </w:rPr>
              <w:t xml:space="preserve"> for the work of the Task Force.</w:t>
            </w:r>
          </w:p>
        </w:tc>
      </w:tr>
      <w:tr w:rsidR="00CF2D8C" w14:paraId="5A3EAC08" w14:textId="77777777">
        <w:trPr>
          <w:trHeight w:val="1304"/>
          <w:jc w:val="center"/>
        </w:trPr>
        <w:tc>
          <w:tcPr>
            <w:tcW w:w="9016" w:type="dxa"/>
            <w:vAlign w:val="center"/>
          </w:tcPr>
          <w:p w14:paraId="022B829E" w14:textId="77777777" w:rsidR="00CF2D8C" w:rsidRDefault="00000000">
            <w:pPr>
              <w:pStyle w:val="ListParagraph"/>
              <w:numPr>
                <w:ilvl w:val="0"/>
                <w:numId w:val="1"/>
              </w:numPr>
              <w:spacing w:line="276" w:lineRule="auto"/>
              <w:ind w:left="681" w:hanging="397"/>
              <w:contextualSpacing w:val="0"/>
              <w:rPr>
                <w:color w:val="000000"/>
              </w:rPr>
            </w:pPr>
            <w:r>
              <w:rPr>
                <w:color w:val="000000"/>
              </w:rPr>
              <w:t>To work with project promoters and other stakeholders to plan, review, and evaluate the impact of funded actions based on agreed outcomes in the Strategic Plan of the Task Force and in line with the National Drugs and Alcohol Strategy.</w:t>
            </w:r>
          </w:p>
        </w:tc>
      </w:tr>
      <w:tr w:rsidR="00CF2D8C" w14:paraId="7B7056B6" w14:textId="77777777">
        <w:trPr>
          <w:trHeight w:val="851"/>
          <w:jc w:val="center"/>
        </w:trPr>
        <w:tc>
          <w:tcPr>
            <w:tcW w:w="9016" w:type="dxa"/>
            <w:vAlign w:val="center"/>
          </w:tcPr>
          <w:p w14:paraId="315A976F" w14:textId="77777777" w:rsidR="00CF2D8C" w:rsidRDefault="00000000">
            <w:pPr>
              <w:numPr>
                <w:ilvl w:val="0"/>
                <w:numId w:val="1"/>
              </w:numPr>
              <w:rPr>
                <w:color w:val="000000"/>
              </w:rPr>
            </w:pPr>
            <w:r>
              <w:rPr>
                <w:rFonts w:eastAsia="Aptos"/>
                <w:color w:val="0D0D0D" w:themeColor="text1" w:themeTint="F2"/>
                <w:lang w:eastAsia="zh-CN"/>
              </w:rPr>
              <w:t>To organise, participate in, and report to monthly meetings of the Canal Communities Local Drug and Alcohol Task Force and of the Board of CCRAS, providing written reports to these meetings.</w:t>
            </w:r>
          </w:p>
        </w:tc>
      </w:tr>
      <w:tr w:rsidR="00CF2D8C" w14:paraId="76128381" w14:textId="77777777">
        <w:trPr>
          <w:trHeight w:val="851"/>
          <w:jc w:val="center"/>
        </w:trPr>
        <w:tc>
          <w:tcPr>
            <w:tcW w:w="9016" w:type="dxa"/>
            <w:tcBorders>
              <w:top w:val="nil"/>
            </w:tcBorders>
            <w:vAlign w:val="center"/>
          </w:tcPr>
          <w:p w14:paraId="1FBB78B5" w14:textId="77777777" w:rsidR="00CF2D8C" w:rsidRDefault="00000000">
            <w:pPr>
              <w:pStyle w:val="NoSpacing"/>
              <w:widowControl w:val="0"/>
              <w:numPr>
                <w:ilvl w:val="0"/>
                <w:numId w:val="1"/>
              </w:numPr>
              <w:rPr>
                <w:rFonts w:ascii="Arial" w:hAnsi="Arial"/>
              </w:rPr>
            </w:pPr>
            <w:r>
              <w:rPr>
                <w:rFonts w:ascii="Arial" w:hAnsi="Arial" w:cs="Arial"/>
                <w:color w:val="0D0D0D" w:themeColor="text1" w:themeTint="F2"/>
              </w:rPr>
              <w:t>Under the direction of the Board and the Task Force, to lead the development of the Task Force’s strategic and annual plans.</w:t>
            </w:r>
          </w:p>
        </w:tc>
      </w:tr>
      <w:tr w:rsidR="00CF2D8C" w14:paraId="3847DCB8" w14:textId="77777777">
        <w:trPr>
          <w:trHeight w:val="851"/>
          <w:jc w:val="center"/>
        </w:trPr>
        <w:tc>
          <w:tcPr>
            <w:tcW w:w="9016" w:type="dxa"/>
            <w:tcBorders>
              <w:top w:val="nil"/>
            </w:tcBorders>
            <w:vAlign w:val="center"/>
          </w:tcPr>
          <w:p w14:paraId="3F4BDE34" w14:textId="77777777" w:rsidR="00CF2D8C" w:rsidRDefault="00000000">
            <w:pPr>
              <w:numPr>
                <w:ilvl w:val="0"/>
                <w:numId w:val="1"/>
              </w:numPr>
              <w:ind w:left="681" w:hanging="397"/>
              <w:contextualSpacing/>
              <w:rPr>
                <w:color w:val="000000"/>
              </w:rPr>
            </w:pPr>
            <w:r>
              <w:rPr>
                <w:rFonts w:eastAsia="Calibri"/>
                <w:bCs/>
                <w:color w:val="000000"/>
                <w:lang w:val="en-IE" w:eastAsia="zh-CN"/>
              </w:rPr>
              <w:t>To support the Task Force’s development and implementation of appropriate responses to current and emerging trends in substance misuse and related issues, by:</w:t>
            </w:r>
          </w:p>
          <w:p w14:paraId="5C9851EC" w14:textId="77777777" w:rsidR="00CF2D8C" w:rsidRDefault="00000000">
            <w:pPr>
              <w:pStyle w:val="ListParagraph"/>
              <w:numPr>
                <w:ilvl w:val="1"/>
                <w:numId w:val="1"/>
              </w:numPr>
              <w:spacing w:after="160" w:line="276" w:lineRule="auto"/>
              <w:ind w:left="1077" w:right="113" w:hanging="397"/>
              <w:rPr>
                <w:color w:val="000000"/>
              </w:rPr>
            </w:pPr>
            <w:r>
              <w:rPr>
                <w:rFonts w:eastAsia="Calibri"/>
                <w:bCs/>
                <w:color w:val="000000"/>
                <w:lang w:val="en-IE" w:eastAsia="zh-CN"/>
              </w:rPr>
              <w:t xml:space="preserve">leading the development and operation of a systematic, collaborative and participatory approach to identifying and responding to local needs; </w:t>
            </w:r>
          </w:p>
          <w:p w14:paraId="5A8BAD30" w14:textId="77777777" w:rsidR="00CF2D8C" w:rsidRDefault="00000000">
            <w:pPr>
              <w:pStyle w:val="ListParagraph"/>
              <w:numPr>
                <w:ilvl w:val="1"/>
                <w:numId w:val="1"/>
              </w:numPr>
              <w:spacing w:after="160" w:line="276" w:lineRule="auto"/>
              <w:ind w:left="1077" w:right="113" w:hanging="397"/>
              <w:rPr>
                <w:color w:val="000000"/>
              </w:rPr>
            </w:pPr>
            <w:r>
              <w:rPr>
                <w:rFonts w:eastAsia="Calibri"/>
                <w:bCs/>
                <w:color w:val="000000"/>
                <w:lang w:val="en-IE" w:eastAsia="zh-CN"/>
              </w:rPr>
              <w:t>co-ordinating and organising relevant research and the collection of data;</w:t>
            </w:r>
          </w:p>
          <w:p w14:paraId="3B7FFE34" w14:textId="77777777" w:rsidR="00CF2D8C" w:rsidRDefault="00000000">
            <w:pPr>
              <w:pStyle w:val="ListParagraph"/>
              <w:numPr>
                <w:ilvl w:val="1"/>
                <w:numId w:val="1"/>
              </w:numPr>
              <w:spacing w:after="160" w:line="276" w:lineRule="auto"/>
              <w:ind w:left="1077" w:right="113" w:hanging="397"/>
              <w:rPr>
                <w:color w:val="000000"/>
              </w:rPr>
            </w:pPr>
            <w:r>
              <w:rPr>
                <w:rFonts w:eastAsia="Calibri"/>
                <w:bCs/>
                <w:color w:val="000000"/>
                <w:lang w:val="en-IE" w:eastAsia="zh-CN"/>
              </w:rPr>
              <w:t>helping to guide new initiatives.</w:t>
            </w:r>
          </w:p>
        </w:tc>
      </w:tr>
      <w:tr w:rsidR="00CF2D8C" w14:paraId="59AD8F25" w14:textId="77777777">
        <w:trPr>
          <w:trHeight w:val="851"/>
          <w:jc w:val="center"/>
        </w:trPr>
        <w:tc>
          <w:tcPr>
            <w:tcW w:w="9016" w:type="dxa"/>
            <w:vAlign w:val="center"/>
          </w:tcPr>
          <w:p w14:paraId="37EB51CA" w14:textId="75021C7A" w:rsidR="00CF2D8C" w:rsidRDefault="00000000">
            <w:pPr>
              <w:pStyle w:val="ListParagraph"/>
              <w:numPr>
                <w:ilvl w:val="0"/>
                <w:numId w:val="1"/>
              </w:numPr>
              <w:spacing w:line="276" w:lineRule="auto"/>
              <w:ind w:left="681" w:hanging="397"/>
              <w:contextualSpacing w:val="0"/>
            </w:pPr>
            <w:r>
              <w:rPr>
                <w:color w:val="0D0D0D" w:themeColor="text1" w:themeTint="F2"/>
              </w:rPr>
              <w:t>To ensure that the Task Force develops and utilises a rigorous, transparent, and service-user-centred system to monitor and evaluate its own work and the work of all r</w:t>
            </w:r>
            <w:r>
              <w:rPr>
                <w:color w:val="000000"/>
              </w:rPr>
              <w:t>elevant local services, and which employs both statistical and qualitative indicators.</w:t>
            </w:r>
          </w:p>
        </w:tc>
      </w:tr>
      <w:tr w:rsidR="00CF2D8C" w14:paraId="67DEDC5D" w14:textId="77777777">
        <w:trPr>
          <w:trHeight w:val="1077"/>
          <w:jc w:val="center"/>
        </w:trPr>
        <w:tc>
          <w:tcPr>
            <w:tcW w:w="9016" w:type="dxa"/>
            <w:vAlign w:val="center"/>
          </w:tcPr>
          <w:p w14:paraId="72595355" w14:textId="77777777" w:rsidR="00CF2D8C" w:rsidRDefault="00000000">
            <w:pPr>
              <w:pStyle w:val="ListParagraph"/>
              <w:numPr>
                <w:ilvl w:val="0"/>
                <w:numId w:val="1"/>
              </w:numPr>
              <w:spacing w:line="276" w:lineRule="auto"/>
              <w:ind w:left="681" w:hanging="397"/>
              <w:contextualSpacing w:val="0"/>
            </w:pPr>
            <w:r>
              <w:rPr>
                <w:color w:val="0D0D0D" w:themeColor="text1" w:themeTint="F2"/>
              </w:rPr>
              <w:t>Under the direction of the Board, to lead the effective management and administration of all the operations of CCRAS CLG, including its financial, funding, staff management, communication, data collection, data protection and IT activities, ensuring that the organisation meets all the reporting, financial and other requirements of relevant legislation, regulatory authorities, funding agencies, governance codes and quality standards.</w:t>
            </w:r>
          </w:p>
        </w:tc>
      </w:tr>
      <w:tr w:rsidR="00CF2D8C" w14:paraId="288F87A0" w14:textId="77777777">
        <w:trPr>
          <w:trHeight w:val="851"/>
          <w:jc w:val="center"/>
        </w:trPr>
        <w:tc>
          <w:tcPr>
            <w:tcW w:w="9016" w:type="dxa"/>
            <w:vAlign w:val="center"/>
          </w:tcPr>
          <w:p w14:paraId="6BB8B89E" w14:textId="6D0B6D8D" w:rsidR="00CF2D8C" w:rsidRDefault="00000000">
            <w:pPr>
              <w:pStyle w:val="ListParagraph"/>
              <w:numPr>
                <w:ilvl w:val="0"/>
                <w:numId w:val="1"/>
              </w:numPr>
              <w:spacing w:line="276" w:lineRule="auto"/>
              <w:ind w:left="681" w:hanging="397"/>
              <w:contextualSpacing w:val="0"/>
            </w:pPr>
            <w:r>
              <w:rPr>
                <w:rFonts w:eastAsia="Aptos"/>
                <w:color w:val="0D0D0D" w:themeColor="text1" w:themeTint="F2"/>
              </w:rPr>
              <w:t>To manage staff and, with the assistance of the Team Leader, to ensure that structures are in place, and operating effectively</w:t>
            </w:r>
            <w:r>
              <w:rPr>
                <w:rFonts w:eastAsia="Aptos"/>
              </w:rPr>
              <w:t xml:space="preserve">, to </w:t>
            </w:r>
            <w:r>
              <w:rPr>
                <w:rFonts w:eastAsia="Calibri" w:cs="Calibri"/>
                <w:bCs/>
                <w:lang w:val="en-IE" w:eastAsia="zh-CN"/>
              </w:rPr>
              <w:t>direct, support and supervise staff in performing the actions set out in their logic models.</w:t>
            </w:r>
          </w:p>
        </w:tc>
      </w:tr>
      <w:tr w:rsidR="00CF2D8C" w14:paraId="691159A8" w14:textId="77777777">
        <w:trPr>
          <w:trHeight w:val="851"/>
          <w:jc w:val="center"/>
        </w:trPr>
        <w:tc>
          <w:tcPr>
            <w:tcW w:w="9016" w:type="dxa"/>
            <w:tcBorders>
              <w:top w:val="nil"/>
            </w:tcBorders>
            <w:vAlign w:val="center"/>
          </w:tcPr>
          <w:p w14:paraId="2552D347" w14:textId="77777777" w:rsidR="00CF2D8C" w:rsidRDefault="00000000">
            <w:pPr>
              <w:pStyle w:val="ListParagraph"/>
              <w:numPr>
                <w:ilvl w:val="0"/>
                <w:numId w:val="1"/>
              </w:numPr>
              <w:spacing w:before="60" w:line="259" w:lineRule="auto"/>
              <w:ind w:left="681" w:hanging="397"/>
              <w:rPr>
                <w:color w:val="000000"/>
              </w:rPr>
            </w:pPr>
            <w:r>
              <w:rPr>
                <w:bCs/>
                <w:color w:val="000000"/>
              </w:rPr>
              <w:t>To support and help to develop the work of the Task Force’s Sub-groups and of temporary working/steering groups set up by the Task Force by, where possible and appropriate:</w:t>
            </w:r>
          </w:p>
          <w:p w14:paraId="75800F93" w14:textId="77777777" w:rsidR="00CF2D8C" w:rsidRDefault="00000000">
            <w:pPr>
              <w:pStyle w:val="ListParagraph"/>
              <w:numPr>
                <w:ilvl w:val="1"/>
                <w:numId w:val="1"/>
              </w:numPr>
              <w:spacing w:before="60" w:line="259" w:lineRule="auto"/>
              <w:ind w:left="907" w:right="113" w:hanging="397"/>
              <w:rPr>
                <w:color w:val="000000"/>
              </w:rPr>
            </w:pPr>
            <w:r>
              <w:rPr>
                <w:bCs/>
                <w:color w:val="000000"/>
              </w:rPr>
              <w:t>participating in sub-group meetings;</w:t>
            </w:r>
          </w:p>
          <w:p w14:paraId="4CE270DD" w14:textId="77777777" w:rsidR="00CF2D8C" w:rsidRDefault="00000000">
            <w:pPr>
              <w:pStyle w:val="ListParagraph"/>
              <w:numPr>
                <w:ilvl w:val="1"/>
                <w:numId w:val="1"/>
              </w:numPr>
              <w:spacing w:before="60" w:line="259" w:lineRule="auto"/>
              <w:ind w:left="907" w:right="113" w:hanging="397"/>
              <w:rPr>
                <w:color w:val="000000"/>
              </w:rPr>
            </w:pPr>
            <w:r>
              <w:rPr>
                <w:bCs/>
                <w:color w:val="000000"/>
              </w:rPr>
              <w:t>facilitating, chairing or minute-taking at sub-group meetings;</w:t>
            </w:r>
          </w:p>
          <w:p w14:paraId="2610AEDF" w14:textId="77777777" w:rsidR="00CF2D8C" w:rsidRDefault="00000000">
            <w:pPr>
              <w:pStyle w:val="ListParagraph"/>
              <w:numPr>
                <w:ilvl w:val="1"/>
                <w:numId w:val="1"/>
              </w:numPr>
              <w:spacing w:before="60" w:line="259" w:lineRule="auto"/>
              <w:ind w:left="907" w:right="113" w:hanging="397"/>
              <w:rPr>
                <w:color w:val="000000"/>
                <w:shd w:val="clear" w:color="auto" w:fill="EC9BA4"/>
              </w:rPr>
            </w:pPr>
            <w:r>
              <w:rPr>
                <w:rFonts w:eastAsia="Aptos"/>
                <w:bCs/>
                <w:color w:val="000000"/>
                <w:lang w:eastAsia="zh-CN"/>
              </w:rPr>
              <w:t>leading the organisation of key sub-group activities.</w:t>
            </w:r>
          </w:p>
        </w:tc>
      </w:tr>
      <w:tr w:rsidR="00CF2D8C" w14:paraId="530DB679" w14:textId="77777777">
        <w:trPr>
          <w:trHeight w:val="851"/>
          <w:jc w:val="center"/>
        </w:trPr>
        <w:tc>
          <w:tcPr>
            <w:tcW w:w="9016" w:type="dxa"/>
            <w:vAlign w:val="center"/>
          </w:tcPr>
          <w:p w14:paraId="59A96828" w14:textId="4DE25758" w:rsidR="00CF2D8C" w:rsidRDefault="00000000">
            <w:pPr>
              <w:pStyle w:val="ListParagraph"/>
              <w:numPr>
                <w:ilvl w:val="0"/>
                <w:numId w:val="1"/>
              </w:numPr>
              <w:spacing w:line="276" w:lineRule="auto"/>
              <w:ind w:left="681" w:hanging="397"/>
              <w:contextualSpacing w:val="0"/>
              <w:rPr>
                <w:color w:val="000000"/>
              </w:rPr>
            </w:pPr>
            <w:r>
              <w:rPr>
                <w:color w:val="000000"/>
              </w:rPr>
              <w:t xml:space="preserve">To represent the </w:t>
            </w:r>
            <w:r w:rsidR="003D17E6">
              <w:rPr>
                <w:color w:val="000000"/>
              </w:rPr>
              <w:t>Task Force</w:t>
            </w:r>
            <w:r>
              <w:rPr>
                <w:color w:val="000000"/>
              </w:rPr>
              <w:t xml:space="preserve"> at relevant local, regional, and national fora, including the national network of Local Drug and Alcohol Task Force Co</w:t>
            </w:r>
            <w:r w:rsidR="003D17E6">
              <w:rPr>
                <w:color w:val="000000"/>
              </w:rPr>
              <w:t>-</w:t>
            </w:r>
            <w:r>
              <w:rPr>
                <w:color w:val="000000"/>
              </w:rPr>
              <w:t>ordinators.</w:t>
            </w:r>
          </w:p>
        </w:tc>
      </w:tr>
      <w:tr w:rsidR="00CF2D8C" w14:paraId="2FF2A036" w14:textId="77777777">
        <w:trPr>
          <w:trHeight w:val="851"/>
          <w:jc w:val="center"/>
        </w:trPr>
        <w:tc>
          <w:tcPr>
            <w:tcW w:w="9016" w:type="dxa"/>
            <w:vAlign w:val="center"/>
          </w:tcPr>
          <w:p w14:paraId="501E2808" w14:textId="77777777" w:rsidR="00CF2D8C" w:rsidRDefault="00000000">
            <w:pPr>
              <w:pStyle w:val="ListParagraph"/>
              <w:numPr>
                <w:ilvl w:val="0"/>
                <w:numId w:val="1"/>
              </w:numPr>
              <w:spacing w:line="276" w:lineRule="auto"/>
              <w:ind w:left="681" w:hanging="397"/>
              <w:contextualSpacing w:val="0"/>
              <w:rPr>
                <w:color w:val="000000"/>
              </w:rPr>
            </w:pPr>
            <w:r>
              <w:rPr>
                <w:rFonts w:eastAsia="Aptos"/>
                <w:bCs/>
                <w:color w:val="000000"/>
              </w:rPr>
              <w:lastRenderedPageBreak/>
              <w:t>To contribute to the establishment and promotion of mechanisms for the monitoring (including financial monitoring) and evaluation of all funded projects in liaison with the agencies designated as channels of funding, ensuring compliance with each funder’s contract requirements, e.g., City of Dublin Youth Service Board, Dept of Justice, HSE.</w:t>
            </w:r>
          </w:p>
        </w:tc>
      </w:tr>
      <w:tr w:rsidR="00CF2D8C" w14:paraId="30B2A31D" w14:textId="77777777">
        <w:trPr>
          <w:trHeight w:val="954"/>
          <w:jc w:val="center"/>
        </w:trPr>
        <w:tc>
          <w:tcPr>
            <w:tcW w:w="9016" w:type="dxa"/>
            <w:vAlign w:val="center"/>
          </w:tcPr>
          <w:p w14:paraId="09F90146" w14:textId="77777777" w:rsidR="00CF2D8C" w:rsidRDefault="00000000">
            <w:pPr>
              <w:pStyle w:val="NoSpacing"/>
              <w:widowControl w:val="0"/>
              <w:numPr>
                <w:ilvl w:val="0"/>
                <w:numId w:val="1"/>
              </w:numPr>
              <w:rPr>
                <w:rFonts w:ascii="Arial" w:hAnsi="Arial"/>
                <w:color w:val="000000"/>
              </w:rPr>
            </w:pPr>
            <w:r>
              <w:rPr>
                <w:rFonts w:ascii="Arial" w:hAnsi="Arial" w:cs="Arial"/>
                <w:color w:val="0D0D0D" w:themeColor="text1" w:themeTint="F2"/>
              </w:rPr>
              <w:t>To manage facilities and to be responsible for leasing/contractual arrangements with landlords.</w:t>
            </w:r>
          </w:p>
        </w:tc>
      </w:tr>
      <w:tr w:rsidR="00CF2D8C" w14:paraId="34B94F17" w14:textId="77777777">
        <w:trPr>
          <w:trHeight w:val="954"/>
          <w:jc w:val="center"/>
        </w:trPr>
        <w:tc>
          <w:tcPr>
            <w:tcW w:w="9016" w:type="dxa"/>
            <w:tcBorders>
              <w:top w:val="nil"/>
            </w:tcBorders>
            <w:vAlign w:val="center"/>
          </w:tcPr>
          <w:p w14:paraId="50284A5A" w14:textId="77777777" w:rsidR="00CF2D8C" w:rsidRDefault="00000000">
            <w:pPr>
              <w:pStyle w:val="ListParagraph"/>
              <w:numPr>
                <w:ilvl w:val="0"/>
                <w:numId w:val="1"/>
              </w:numPr>
              <w:spacing w:line="276" w:lineRule="auto"/>
              <w:ind w:left="681" w:hanging="397"/>
              <w:contextualSpacing w:val="0"/>
            </w:pPr>
            <w:r>
              <w:t>To perform other duties as appropriate to the post which may be assigned from time to time by the Board and to contribute to the development of the post while in office.</w:t>
            </w:r>
          </w:p>
        </w:tc>
      </w:tr>
      <w:tr w:rsidR="00CF2D8C" w14:paraId="779BAB4E" w14:textId="77777777">
        <w:trPr>
          <w:trHeight w:val="954"/>
          <w:jc w:val="center"/>
        </w:trPr>
        <w:tc>
          <w:tcPr>
            <w:tcW w:w="9016" w:type="dxa"/>
            <w:tcBorders>
              <w:top w:val="nil"/>
            </w:tcBorders>
            <w:vAlign w:val="center"/>
          </w:tcPr>
          <w:p w14:paraId="441BEA84" w14:textId="77777777" w:rsidR="00CF2D8C" w:rsidRDefault="00000000">
            <w:pPr>
              <w:pStyle w:val="ListParagraph"/>
              <w:spacing w:before="113" w:line="276" w:lineRule="auto"/>
              <w:ind w:left="681" w:hanging="397"/>
              <w:contextualSpacing w:val="0"/>
              <w:jc w:val="center"/>
              <w:rPr>
                <w:b/>
                <w:bCs/>
                <w:sz w:val="24"/>
                <w:szCs w:val="24"/>
                <w:u w:val="single"/>
              </w:rPr>
            </w:pPr>
            <w:r>
              <w:rPr>
                <w:b/>
                <w:bCs/>
                <w:sz w:val="24"/>
                <w:szCs w:val="24"/>
                <w:u w:val="single"/>
              </w:rPr>
              <w:t>Confidentiality</w:t>
            </w:r>
          </w:p>
          <w:p w14:paraId="7E009687" w14:textId="77777777" w:rsidR="00CF2D8C" w:rsidRDefault="00000000">
            <w:pPr>
              <w:spacing w:before="57" w:after="57" w:line="276" w:lineRule="auto"/>
            </w:pPr>
            <w:r>
              <w:rPr>
                <w:color w:val="000000" w:themeColor="text1"/>
              </w:rPr>
              <w:t>In the course of her/his duties, the Co-ordinator will have access to information concerning individuals and families in contact with local services. All such information must be treated in a strictly confidential way, as set out in the relevant policies of CCRAS CLG.</w:t>
            </w:r>
          </w:p>
        </w:tc>
      </w:tr>
    </w:tbl>
    <w:p w14:paraId="2A07CFB1" w14:textId="77777777" w:rsidR="00CF2D8C" w:rsidRDefault="00CF2D8C"/>
    <w:p w14:paraId="08B772A0" w14:textId="77777777" w:rsidR="00CF2D8C" w:rsidRDefault="00000000">
      <w:pPr>
        <w:rPr>
          <w:b/>
          <w:bCs/>
          <w:sz w:val="24"/>
          <w:szCs w:val="24"/>
        </w:rPr>
      </w:pPr>
      <w:r>
        <w:rPr>
          <w:b/>
          <w:bCs/>
          <w:sz w:val="24"/>
          <w:szCs w:val="24"/>
        </w:rPr>
        <w:t>Candidate attributes and experience</w:t>
      </w:r>
    </w:p>
    <w:p w14:paraId="0A9E0CF5" w14:textId="77777777" w:rsidR="00564AA7" w:rsidRDefault="00564AA7" w:rsidP="00564AA7">
      <w:pPr>
        <w:spacing w:before="113" w:after="159" w:line="276" w:lineRule="auto"/>
        <w:rPr>
          <w:b/>
          <w:bCs/>
          <w:sz w:val="24"/>
          <w:szCs w:val="24"/>
          <w:u w:val="single"/>
        </w:rPr>
      </w:pPr>
      <w:r>
        <w:rPr>
          <w:b/>
          <w:bCs/>
          <w:sz w:val="24"/>
          <w:szCs w:val="24"/>
          <w:u w:val="single"/>
        </w:rPr>
        <w:t>Essential</w:t>
      </w:r>
    </w:p>
    <w:p w14:paraId="6C63C4C1" w14:textId="77777777" w:rsidR="00564AA7" w:rsidRDefault="00564AA7" w:rsidP="00564AA7">
      <w:pPr>
        <w:widowControl/>
        <w:numPr>
          <w:ilvl w:val="0"/>
          <w:numId w:val="3"/>
        </w:numPr>
        <w:spacing w:before="57" w:line="276" w:lineRule="auto"/>
        <w:ind w:left="454" w:hanging="340"/>
        <w:rPr>
          <w:sz w:val="24"/>
          <w:szCs w:val="24"/>
        </w:rPr>
      </w:pPr>
      <w:r>
        <w:rPr>
          <w:sz w:val="24"/>
          <w:szCs w:val="24"/>
        </w:rPr>
        <w:t>Excellent inter-personal skills</w:t>
      </w:r>
    </w:p>
    <w:p w14:paraId="4A801154" w14:textId="77777777" w:rsidR="00564AA7" w:rsidRDefault="00564AA7" w:rsidP="00564AA7">
      <w:pPr>
        <w:widowControl/>
        <w:numPr>
          <w:ilvl w:val="0"/>
          <w:numId w:val="3"/>
        </w:numPr>
        <w:spacing w:before="57" w:line="276" w:lineRule="auto"/>
        <w:ind w:left="454" w:hanging="340"/>
        <w:rPr>
          <w:sz w:val="24"/>
          <w:szCs w:val="24"/>
        </w:rPr>
      </w:pPr>
      <w:r>
        <w:rPr>
          <w:sz w:val="24"/>
          <w:szCs w:val="24"/>
        </w:rPr>
        <w:t>Experience of, and commitment to, inter-agency collaboration</w:t>
      </w:r>
    </w:p>
    <w:p w14:paraId="2E25AF0A" w14:textId="77777777" w:rsidR="00564AA7" w:rsidRDefault="00564AA7" w:rsidP="00564AA7">
      <w:pPr>
        <w:widowControl/>
        <w:numPr>
          <w:ilvl w:val="0"/>
          <w:numId w:val="3"/>
        </w:numPr>
        <w:spacing w:before="57" w:line="276" w:lineRule="auto"/>
        <w:ind w:left="454" w:hanging="340"/>
        <w:rPr>
          <w:sz w:val="24"/>
          <w:szCs w:val="24"/>
        </w:rPr>
      </w:pPr>
      <w:r>
        <w:rPr>
          <w:sz w:val="24"/>
          <w:szCs w:val="24"/>
        </w:rPr>
        <w:t>Experience in community development work and strong commitment to community participation</w:t>
      </w:r>
    </w:p>
    <w:p w14:paraId="76B8DF35" w14:textId="77777777" w:rsidR="00564AA7" w:rsidRDefault="00564AA7" w:rsidP="00564AA7">
      <w:pPr>
        <w:pStyle w:val="BodyText"/>
        <w:numPr>
          <w:ilvl w:val="0"/>
          <w:numId w:val="3"/>
        </w:numPr>
        <w:spacing w:after="0"/>
        <w:ind w:left="454" w:hanging="340"/>
        <w:rPr>
          <w:sz w:val="24"/>
          <w:szCs w:val="24"/>
        </w:rPr>
      </w:pPr>
      <w:r>
        <w:rPr>
          <w:color w:val="0D0D0D" w:themeColor="text1" w:themeTint="F2"/>
          <w:sz w:val="24"/>
          <w:szCs w:val="24"/>
        </w:rPr>
        <w:t>Experience of at</w:t>
      </w:r>
      <w:r>
        <w:rPr>
          <w:color w:val="0D0D0D" w:themeColor="text1" w:themeTint="F2"/>
          <w:spacing w:val="-1"/>
          <w:sz w:val="24"/>
          <w:szCs w:val="24"/>
        </w:rPr>
        <w:t xml:space="preserve"> </w:t>
      </w:r>
      <w:r>
        <w:rPr>
          <w:color w:val="0D0D0D" w:themeColor="text1" w:themeTint="F2"/>
          <w:sz w:val="24"/>
          <w:szCs w:val="24"/>
        </w:rPr>
        <w:t>least</w:t>
      </w:r>
      <w:r>
        <w:rPr>
          <w:color w:val="0D0D0D" w:themeColor="text1" w:themeTint="F2"/>
          <w:spacing w:val="-4"/>
          <w:sz w:val="24"/>
          <w:szCs w:val="24"/>
        </w:rPr>
        <w:t xml:space="preserve"> </w:t>
      </w:r>
      <w:r>
        <w:rPr>
          <w:color w:val="0D0D0D" w:themeColor="text1" w:themeTint="F2"/>
          <w:sz w:val="24"/>
          <w:szCs w:val="24"/>
        </w:rPr>
        <w:t>4</w:t>
      </w:r>
      <w:r>
        <w:rPr>
          <w:color w:val="0D0D0D" w:themeColor="text1" w:themeTint="F2"/>
          <w:spacing w:val="-5"/>
          <w:sz w:val="24"/>
          <w:szCs w:val="24"/>
        </w:rPr>
        <w:t xml:space="preserve"> </w:t>
      </w:r>
      <w:r>
        <w:rPr>
          <w:color w:val="0D0D0D" w:themeColor="text1" w:themeTint="F2"/>
          <w:sz w:val="24"/>
          <w:szCs w:val="24"/>
        </w:rPr>
        <w:t xml:space="preserve">years’ </w:t>
      </w:r>
      <w:r>
        <w:rPr>
          <w:color w:val="0D0D0D" w:themeColor="text1" w:themeTint="F2"/>
          <w:spacing w:val="-3"/>
          <w:sz w:val="24"/>
          <w:szCs w:val="24"/>
        </w:rPr>
        <w:t xml:space="preserve">paid work </w:t>
      </w:r>
      <w:r>
        <w:rPr>
          <w:color w:val="0D0D0D" w:themeColor="text1" w:themeTint="F2"/>
          <w:sz w:val="24"/>
          <w:szCs w:val="24"/>
        </w:rPr>
        <w:t>in</w:t>
      </w:r>
      <w:r>
        <w:rPr>
          <w:color w:val="0D0D0D" w:themeColor="text1" w:themeTint="F2"/>
          <w:spacing w:val="-3"/>
          <w:sz w:val="24"/>
          <w:szCs w:val="24"/>
        </w:rPr>
        <w:t xml:space="preserve"> </w:t>
      </w:r>
      <w:r>
        <w:rPr>
          <w:color w:val="0D0D0D" w:themeColor="text1" w:themeTint="F2"/>
          <w:sz w:val="24"/>
          <w:szCs w:val="24"/>
        </w:rPr>
        <w:t>addiction services,</w:t>
      </w:r>
      <w:r>
        <w:rPr>
          <w:color w:val="0D0D0D" w:themeColor="text1" w:themeTint="F2"/>
          <w:spacing w:val="-1"/>
          <w:sz w:val="24"/>
          <w:szCs w:val="24"/>
        </w:rPr>
        <w:t xml:space="preserve"> </w:t>
      </w:r>
      <w:r>
        <w:rPr>
          <w:color w:val="0D0D0D" w:themeColor="text1" w:themeTint="F2"/>
          <w:sz w:val="24"/>
          <w:szCs w:val="24"/>
        </w:rPr>
        <w:t>youth</w:t>
      </w:r>
      <w:r>
        <w:rPr>
          <w:color w:val="0D0D0D" w:themeColor="text1" w:themeTint="F2"/>
          <w:spacing w:val="-3"/>
          <w:sz w:val="24"/>
          <w:szCs w:val="24"/>
        </w:rPr>
        <w:t xml:space="preserve"> </w:t>
      </w:r>
      <w:r>
        <w:rPr>
          <w:color w:val="0D0D0D" w:themeColor="text1" w:themeTint="F2"/>
          <w:sz w:val="24"/>
          <w:szCs w:val="24"/>
        </w:rPr>
        <w:t>work,</w:t>
      </w:r>
      <w:r>
        <w:rPr>
          <w:color w:val="0D0D0D" w:themeColor="text1" w:themeTint="F2"/>
          <w:spacing w:val="-4"/>
          <w:sz w:val="24"/>
          <w:szCs w:val="24"/>
        </w:rPr>
        <w:t xml:space="preserve"> </w:t>
      </w:r>
      <w:r>
        <w:rPr>
          <w:color w:val="0D0D0D" w:themeColor="text1" w:themeTint="F2"/>
          <w:sz w:val="24"/>
          <w:szCs w:val="24"/>
        </w:rPr>
        <w:t>community</w:t>
      </w:r>
      <w:r>
        <w:rPr>
          <w:color w:val="0D0D0D" w:themeColor="text1" w:themeTint="F2"/>
          <w:spacing w:val="-2"/>
          <w:sz w:val="24"/>
          <w:szCs w:val="24"/>
        </w:rPr>
        <w:t xml:space="preserve"> </w:t>
      </w:r>
      <w:r>
        <w:rPr>
          <w:color w:val="0D0D0D" w:themeColor="text1" w:themeTint="F2"/>
          <w:sz w:val="24"/>
          <w:szCs w:val="24"/>
        </w:rPr>
        <w:t>development</w:t>
      </w:r>
      <w:r>
        <w:rPr>
          <w:color w:val="0D0D0D" w:themeColor="text1" w:themeTint="F2"/>
          <w:spacing w:val="-4"/>
          <w:sz w:val="24"/>
          <w:szCs w:val="24"/>
        </w:rPr>
        <w:t xml:space="preserve"> </w:t>
      </w:r>
      <w:r>
        <w:rPr>
          <w:color w:val="0D0D0D" w:themeColor="text1" w:themeTint="F2"/>
          <w:sz w:val="24"/>
          <w:szCs w:val="24"/>
        </w:rPr>
        <w:t>or</w:t>
      </w:r>
      <w:r>
        <w:rPr>
          <w:color w:val="0D0D0D" w:themeColor="text1" w:themeTint="F2"/>
          <w:spacing w:val="-4"/>
          <w:sz w:val="24"/>
          <w:szCs w:val="24"/>
        </w:rPr>
        <w:t xml:space="preserve"> </w:t>
      </w:r>
      <w:r>
        <w:rPr>
          <w:color w:val="0D0D0D" w:themeColor="text1" w:themeTint="F2"/>
          <w:sz w:val="24"/>
          <w:szCs w:val="24"/>
        </w:rPr>
        <w:t>a related field</w:t>
      </w:r>
    </w:p>
    <w:p w14:paraId="2D57E685" w14:textId="77777777" w:rsidR="00564AA7" w:rsidRDefault="00564AA7" w:rsidP="00564AA7">
      <w:pPr>
        <w:widowControl/>
        <w:numPr>
          <w:ilvl w:val="0"/>
          <w:numId w:val="3"/>
        </w:numPr>
        <w:spacing w:before="57" w:line="276" w:lineRule="auto"/>
        <w:ind w:left="454" w:hanging="340"/>
        <w:rPr>
          <w:sz w:val="24"/>
          <w:szCs w:val="24"/>
        </w:rPr>
      </w:pPr>
      <w:r>
        <w:rPr>
          <w:sz w:val="24"/>
          <w:szCs w:val="24"/>
        </w:rPr>
        <w:t>Experience of managing a staff team</w:t>
      </w:r>
    </w:p>
    <w:p w14:paraId="2033564F" w14:textId="77777777" w:rsidR="00564AA7" w:rsidRDefault="00564AA7" w:rsidP="00564AA7">
      <w:pPr>
        <w:widowControl/>
        <w:numPr>
          <w:ilvl w:val="0"/>
          <w:numId w:val="3"/>
        </w:numPr>
        <w:spacing w:before="57" w:line="276" w:lineRule="auto"/>
        <w:ind w:left="454" w:hanging="340"/>
        <w:rPr>
          <w:sz w:val="24"/>
          <w:szCs w:val="24"/>
        </w:rPr>
      </w:pPr>
      <w:r>
        <w:rPr>
          <w:sz w:val="24"/>
          <w:szCs w:val="24"/>
        </w:rPr>
        <w:t xml:space="preserve">Excellent facilitation skills </w:t>
      </w:r>
    </w:p>
    <w:p w14:paraId="6C82CDF1" w14:textId="77777777" w:rsidR="00564AA7" w:rsidRDefault="00564AA7" w:rsidP="00564AA7">
      <w:pPr>
        <w:widowControl/>
        <w:numPr>
          <w:ilvl w:val="0"/>
          <w:numId w:val="3"/>
        </w:numPr>
        <w:spacing w:before="57" w:line="276" w:lineRule="auto"/>
        <w:ind w:left="454" w:hanging="340"/>
        <w:rPr>
          <w:sz w:val="24"/>
          <w:szCs w:val="24"/>
        </w:rPr>
      </w:pPr>
      <w:r>
        <w:rPr>
          <w:sz w:val="24"/>
          <w:szCs w:val="24"/>
        </w:rPr>
        <w:t>Knowledge of issues relating to substance misuse and of relevant services</w:t>
      </w:r>
    </w:p>
    <w:p w14:paraId="71238E0F" w14:textId="77777777" w:rsidR="00564AA7" w:rsidRDefault="00564AA7" w:rsidP="00564AA7">
      <w:pPr>
        <w:widowControl/>
        <w:numPr>
          <w:ilvl w:val="0"/>
          <w:numId w:val="3"/>
        </w:numPr>
        <w:spacing w:before="57" w:line="276" w:lineRule="auto"/>
        <w:ind w:left="454" w:hanging="340"/>
        <w:rPr>
          <w:sz w:val="24"/>
          <w:szCs w:val="24"/>
        </w:rPr>
      </w:pPr>
      <w:r>
        <w:rPr>
          <w:sz w:val="24"/>
          <w:szCs w:val="24"/>
        </w:rPr>
        <w:t>Skills and experience in managing finances</w:t>
      </w:r>
    </w:p>
    <w:p w14:paraId="7C0DCADC" w14:textId="77777777" w:rsidR="00564AA7" w:rsidRDefault="00564AA7" w:rsidP="00564AA7">
      <w:pPr>
        <w:widowControl/>
        <w:numPr>
          <w:ilvl w:val="0"/>
          <w:numId w:val="3"/>
        </w:numPr>
        <w:spacing w:before="57" w:line="276" w:lineRule="auto"/>
        <w:ind w:left="454" w:hanging="340"/>
        <w:rPr>
          <w:sz w:val="24"/>
          <w:szCs w:val="24"/>
        </w:rPr>
      </w:pPr>
      <w:r>
        <w:rPr>
          <w:sz w:val="24"/>
          <w:szCs w:val="24"/>
        </w:rPr>
        <w:t xml:space="preserve">Level 7 qualification in </w:t>
      </w:r>
      <w:r>
        <w:rPr>
          <w:bCs/>
          <w:color w:val="000000" w:themeColor="text1"/>
          <w:sz w:val="24"/>
          <w:szCs w:val="24"/>
        </w:rPr>
        <w:t>addiction studies, community work, social sciences, social care, health care or another relevant discipline</w:t>
      </w:r>
    </w:p>
    <w:p w14:paraId="382C4C0A" w14:textId="77777777" w:rsidR="00564AA7" w:rsidRDefault="00564AA7" w:rsidP="00564AA7">
      <w:pPr>
        <w:widowControl/>
        <w:numPr>
          <w:ilvl w:val="0"/>
          <w:numId w:val="3"/>
        </w:numPr>
        <w:spacing w:before="57" w:line="276" w:lineRule="auto"/>
        <w:ind w:left="454" w:hanging="340"/>
        <w:rPr>
          <w:sz w:val="24"/>
          <w:szCs w:val="24"/>
        </w:rPr>
      </w:pPr>
      <w:r>
        <w:rPr>
          <w:sz w:val="24"/>
          <w:szCs w:val="24"/>
        </w:rPr>
        <w:t xml:space="preserve">Ability to work on own initiative with drive, creativity and </w:t>
      </w:r>
      <w:r>
        <w:rPr>
          <w:bCs/>
          <w:color w:val="000000" w:themeColor="text1"/>
          <w:sz w:val="24"/>
          <w:szCs w:val="24"/>
        </w:rPr>
        <w:t>initiative</w:t>
      </w:r>
    </w:p>
    <w:p w14:paraId="166DE7B0" w14:textId="77777777" w:rsidR="00564AA7" w:rsidRDefault="00564AA7" w:rsidP="00564AA7">
      <w:pPr>
        <w:pStyle w:val="ListParagraph"/>
        <w:widowControl/>
        <w:numPr>
          <w:ilvl w:val="0"/>
          <w:numId w:val="3"/>
        </w:numPr>
        <w:spacing w:before="57" w:line="276" w:lineRule="auto"/>
        <w:ind w:left="454" w:hanging="340"/>
        <w:contextualSpacing w:val="0"/>
      </w:pPr>
      <w:r>
        <w:rPr>
          <w:bCs/>
          <w:color w:val="000000" w:themeColor="text1"/>
        </w:rPr>
        <w:t>Report-writing and IT skills</w:t>
      </w:r>
    </w:p>
    <w:p w14:paraId="115E0C6E" w14:textId="77777777" w:rsidR="00564AA7" w:rsidRDefault="00564AA7" w:rsidP="00564AA7">
      <w:pPr>
        <w:pStyle w:val="ListParagraph"/>
        <w:widowControl/>
        <w:numPr>
          <w:ilvl w:val="0"/>
          <w:numId w:val="3"/>
        </w:numPr>
        <w:spacing w:before="57" w:line="276" w:lineRule="auto"/>
        <w:ind w:left="454" w:hanging="340"/>
        <w:contextualSpacing w:val="0"/>
      </w:pPr>
      <w:r>
        <w:rPr>
          <w:bCs/>
          <w:color w:val="000000" w:themeColor="text1"/>
        </w:rPr>
        <w:t>Willingness and availability to do occasional</w:t>
      </w:r>
      <w:r>
        <w:rPr>
          <w:bCs/>
          <w:color w:val="CC00FF"/>
        </w:rPr>
        <w:t xml:space="preserve"> </w:t>
      </w:r>
      <w:r>
        <w:rPr>
          <w:bCs/>
          <w:color w:val="000000" w:themeColor="text1"/>
        </w:rPr>
        <w:t>evening and weekend work.</w:t>
      </w:r>
    </w:p>
    <w:p w14:paraId="600F81FE" w14:textId="77777777" w:rsidR="00564AA7" w:rsidRDefault="00564AA7" w:rsidP="00564AA7">
      <w:pPr>
        <w:spacing w:before="120" w:line="276" w:lineRule="auto"/>
        <w:rPr>
          <w:b/>
          <w:bCs/>
          <w:sz w:val="24"/>
          <w:szCs w:val="24"/>
          <w:u w:val="single"/>
        </w:rPr>
      </w:pPr>
      <w:r>
        <w:rPr>
          <w:b/>
          <w:bCs/>
          <w:color w:val="000000" w:themeColor="text1"/>
          <w:sz w:val="24"/>
          <w:szCs w:val="24"/>
          <w:u w:val="single"/>
          <w:lang w:val="en-IE"/>
        </w:rPr>
        <w:t>Desirable</w:t>
      </w:r>
    </w:p>
    <w:p w14:paraId="4DFAE9A7" w14:textId="77777777" w:rsidR="00564AA7" w:rsidRDefault="00564AA7" w:rsidP="00564AA7">
      <w:pPr>
        <w:widowControl/>
        <w:numPr>
          <w:ilvl w:val="0"/>
          <w:numId w:val="4"/>
        </w:numPr>
        <w:spacing w:before="57" w:line="276" w:lineRule="auto"/>
        <w:ind w:left="454" w:hanging="340"/>
        <w:rPr>
          <w:sz w:val="24"/>
          <w:szCs w:val="24"/>
        </w:rPr>
      </w:pPr>
      <w:r>
        <w:rPr>
          <w:color w:val="000000" w:themeColor="text1"/>
          <w:sz w:val="24"/>
          <w:szCs w:val="24"/>
          <w:lang w:val="en-IE"/>
        </w:rPr>
        <w:t>Experience of paid or unpaid work in the field of substance misuse</w:t>
      </w:r>
    </w:p>
    <w:p w14:paraId="2DE29997" w14:textId="77777777" w:rsidR="00564AA7" w:rsidRDefault="00564AA7" w:rsidP="00564AA7">
      <w:pPr>
        <w:widowControl/>
        <w:numPr>
          <w:ilvl w:val="0"/>
          <w:numId w:val="4"/>
        </w:numPr>
        <w:spacing w:before="57" w:line="276" w:lineRule="auto"/>
        <w:ind w:left="454" w:hanging="340"/>
        <w:rPr>
          <w:sz w:val="24"/>
          <w:szCs w:val="24"/>
        </w:rPr>
      </w:pPr>
      <w:r>
        <w:rPr>
          <w:color w:val="000000" w:themeColor="text1"/>
          <w:sz w:val="24"/>
          <w:szCs w:val="24"/>
          <w:lang w:val="en-IE"/>
        </w:rPr>
        <w:t>Experience of working for an inter-agency initiative</w:t>
      </w:r>
    </w:p>
    <w:p w14:paraId="692AFB3D" w14:textId="77777777" w:rsidR="00564AA7" w:rsidRDefault="00564AA7" w:rsidP="00564AA7">
      <w:pPr>
        <w:pStyle w:val="ListParagraph"/>
        <w:widowControl/>
        <w:numPr>
          <w:ilvl w:val="0"/>
          <w:numId w:val="4"/>
        </w:numPr>
        <w:spacing w:before="57" w:line="276" w:lineRule="auto"/>
        <w:ind w:left="454" w:hanging="340"/>
        <w:contextualSpacing w:val="0"/>
      </w:pPr>
      <w:r>
        <w:rPr>
          <w:color w:val="000000" w:themeColor="text1"/>
          <w:lang w:val="en-IE"/>
        </w:rPr>
        <w:t>Knowledge of the Canal Communities area</w:t>
      </w:r>
    </w:p>
    <w:p w14:paraId="30F534A5" w14:textId="77777777" w:rsidR="00564AA7" w:rsidRDefault="00564AA7" w:rsidP="00564AA7">
      <w:pPr>
        <w:pStyle w:val="ListParagraph"/>
        <w:widowControl/>
        <w:numPr>
          <w:ilvl w:val="0"/>
          <w:numId w:val="4"/>
        </w:numPr>
        <w:spacing w:before="57" w:line="276" w:lineRule="auto"/>
        <w:ind w:left="454" w:hanging="340"/>
        <w:contextualSpacing w:val="0"/>
      </w:pPr>
      <w:r>
        <w:rPr>
          <w:color w:val="000000" w:themeColor="text1"/>
        </w:rPr>
        <w:t>Addiction studies qualification at Level 5 or above (for candidates whose Level 7 qualification is not in addiction studies).</w:t>
      </w:r>
    </w:p>
    <w:p w14:paraId="457021C1" w14:textId="77777777" w:rsidR="00CF2D8C" w:rsidRDefault="00CF2D8C"/>
    <w:p w14:paraId="42A9E409" w14:textId="77777777" w:rsidR="00564AA7" w:rsidRDefault="00564AA7"/>
    <w:p w14:paraId="79CBD143" w14:textId="77777777" w:rsidR="00CF2D8C" w:rsidRDefault="00000000">
      <w:pPr>
        <w:spacing w:line="276" w:lineRule="auto"/>
        <w:rPr>
          <w:b/>
          <w:bCs/>
          <w:sz w:val="24"/>
          <w:szCs w:val="24"/>
          <w:u w:val="single"/>
        </w:rPr>
      </w:pPr>
      <w:r>
        <w:rPr>
          <w:b/>
          <w:bCs/>
          <w:sz w:val="24"/>
          <w:szCs w:val="24"/>
          <w:u w:val="single"/>
        </w:rPr>
        <w:lastRenderedPageBreak/>
        <w:t>Note on the Salary</w:t>
      </w:r>
    </w:p>
    <w:p w14:paraId="0A081BD4" w14:textId="77777777" w:rsidR="00D07592" w:rsidRDefault="00000000">
      <w:pPr>
        <w:pStyle w:val="BodyText"/>
        <w:rPr>
          <w:rFonts w:ascii="Arial;Arial_EmbeddedFont;Arial_" w:hAnsi="Arial;Arial_EmbeddedFont;Arial_"/>
          <w:color w:val="000000"/>
          <w:sz w:val="24"/>
          <w:lang w:val="en-GB"/>
        </w:rPr>
      </w:pPr>
      <w:r>
        <w:rPr>
          <w:rFonts w:ascii="Arial;Arial_EmbeddedFont;Arial_" w:hAnsi="Arial;Arial_EmbeddedFont;Arial_"/>
          <w:color w:val="000000"/>
          <w:sz w:val="24"/>
          <w:lang w:val="en-GB"/>
        </w:rPr>
        <w:t xml:space="preserve">The annual salary will be </w:t>
      </w:r>
      <w:r w:rsidR="00E33B9F">
        <w:rPr>
          <w:rFonts w:ascii="Arial;Arial_EmbeddedFont;Arial_" w:hAnsi="Arial;Arial_EmbeddedFont;Arial_"/>
          <w:color w:val="000000"/>
          <w:sz w:val="24"/>
          <w:lang w:val="en-GB"/>
        </w:rPr>
        <w:t xml:space="preserve">€62,566 for a </w:t>
      </w:r>
      <w:r w:rsidR="00D07592">
        <w:rPr>
          <w:rFonts w:ascii="Arial;Arial_EmbeddedFont;Arial_" w:hAnsi="Arial;Arial_EmbeddedFont;Arial_"/>
          <w:color w:val="000000"/>
          <w:sz w:val="24"/>
          <w:lang w:val="en-GB"/>
        </w:rPr>
        <w:t xml:space="preserve">35-hour week (excluding </w:t>
      </w:r>
      <w:proofErr w:type="gramStart"/>
      <w:r w:rsidR="00D07592">
        <w:rPr>
          <w:rFonts w:ascii="Arial;Arial_EmbeddedFont;Arial_" w:hAnsi="Arial;Arial_EmbeddedFont;Arial_"/>
          <w:color w:val="000000"/>
          <w:sz w:val="24"/>
          <w:lang w:val="en-GB"/>
        </w:rPr>
        <w:t>lunch-breaks</w:t>
      </w:r>
      <w:proofErr w:type="gramEnd"/>
      <w:r w:rsidR="00D07592">
        <w:rPr>
          <w:rFonts w:ascii="Arial;Arial_EmbeddedFont;Arial_" w:hAnsi="Arial;Arial_EmbeddedFont;Arial_"/>
          <w:color w:val="000000"/>
          <w:sz w:val="24"/>
          <w:lang w:val="en-GB"/>
        </w:rPr>
        <w:t>).</w:t>
      </w:r>
      <w:r w:rsidR="00E33B9F">
        <w:rPr>
          <w:rFonts w:ascii="Arial;Arial_EmbeddedFont;Arial_" w:hAnsi="Arial;Arial_EmbeddedFont;Arial_"/>
          <w:color w:val="000000"/>
          <w:sz w:val="24"/>
          <w:lang w:val="en-GB"/>
        </w:rPr>
        <w:t xml:space="preserve"> This is the 3</w:t>
      </w:r>
      <w:r w:rsidR="00E33B9F" w:rsidRPr="00E33B9F">
        <w:rPr>
          <w:rFonts w:ascii="Arial;Arial_EmbeddedFont;Arial_" w:hAnsi="Arial;Arial_EmbeddedFont;Arial_"/>
          <w:color w:val="000000"/>
          <w:sz w:val="24"/>
          <w:vertAlign w:val="superscript"/>
          <w:lang w:val="en-GB"/>
        </w:rPr>
        <w:t>rd</w:t>
      </w:r>
      <w:r w:rsidR="00E33B9F">
        <w:rPr>
          <w:rFonts w:ascii="Arial;Arial_EmbeddedFont;Arial_" w:hAnsi="Arial;Arial_EmbeddedFont;Arial_"/>
          <w:color w:val="000000"/>
          <w:sz w:val="24"/>
          <w:lang w:val="en-GB"/>
        </w:rPr>
        <w:t xml:space="preserve"> </w:t>
      </w:r>
      <w:r w:rsidR="00484BAA">
        <w:rPr>
          <w:rFonts w:ascii="Arial;Arial_EmbeddedFont;Arial_" w:hAnsi="Arial;Arial_EmbeddedFont;Arial_"/>
          <w:color w:val="000000"/>
          <w:sz w:val="24"/>
          <w:lang w:val="en-GB"/>
        </w:rPr>
        <w:t>point on the HSE Clerical Grade VII</w:t>
      </w:r>
      <w:r w:rsidR="00E33B9F">
        <w:rPr>
          <w:rFonts w:ascii="Arial;Arial_EmbeddedFont;Arial_" w:hAnsi="Arial;Arial_EmbeddedFont;Arial_"/>
          <w:color w:val="000000"/>
          <w:sz w:val="24"/>
          <w:lang w:val="en-GB"/>
        </w:rPr>
        <w:t xml:space="preserve"> pay-scale (in effect from 1/3/2025)</w:t>
      </w:r>
      <w:r w:rsidR="00D07592">
        <w:rPr>
          <w:rFonts w:ascii="Arial;Arial_EmbeddedFont;Arial_" w:hAnsi="Arial;Arial_EmbeddedFont;Arial_"/>
          <w:color w:val="000000"/>
          <w:sz w:val="24"/>
          <w:lang w:val="en-GB"/>
        </w:rPr>
        <w:t>:</w:t>
      </w:r>
    </w:p>
    <w:tbl>
      <w:tblPr>
        <w:tblW w:w="9129" w:type="dxa"/>
        <w:tblInd w:w="113" w:type="dxa"/>
        <w:tblLayout w:type="fixed"/>
        <w:tblLook w:val="04A0" w:firstRow="1" w:lastRow="0" w:firstColumn="1" w:lastColumn="0" w:noHBand="0" w:noVBand="1"/>
      </w:tblPr>
      <w:tblGrid>
        <w:gridCol w:w="846"/>
        <w:gridCol w:w="753"/>
        <w:gridCol w:w="753"/>
        <w:gridCol w:w="753"/>
        <w:gridCol w:w="753"/>
        <w:gridCol w:w="753"/>
        <w:gridCol w:w="753"/>
        <w:gridCol w:w="753"/>
        <w:gridCol w:w="753"/>
        <w:gridCol w:w="753"/>
        <w:gridCol w:w="753"/>
        <w:gridCol w:w="753"/>
      </w:tblGrid>
      <w:tr w:rsidR="008C4712" w:rsidRPr="00D07592" w14:paraId="0B84E0BC" w14:textId="77777777" w:rsidTr="008C4712">
        <w:trPr>
          <w:trHeight w:val="315"/>
        </w:trPr>
        <w:tc>
          <w:tcPr>
            <w:tcW w:w="846" w:type="dxa"/>
            <w:tcBorders>
              <w:top w:val="single" w:sz="4" w:space="0" w:color="auto"/>
              <w:left w:val="single" w:sz="4" w:space="0" w:color="auto"/>
              <w:bottom w:val="single" w:sz="4" w:space="0" w:color="auto"/>
              <w:right w:val="single" w:sz="4" w:space="0" w:color="auto"/>
            </w:tcBorders>
          </w:tcPr>
          <w:p w14:paraId="71962845" w14:textId="027B0914" w:rsidR="008C4712" w:rsidRPr="00564AA7" w:rsidRDefault="008C4712" w:rsidP="00564AA7">
            <w:pPr>
              <w:widowControl/>
              <w:suppressAutoHyphens w:val="0"/>
              <w:rPr>
                <w:rFonts w:eastAsia="Times New Roman"/>
                <w:b/>
                <w:bCs/>
                <w:color w:val="000000"/>
                <w:sz w:val="18"/>
                <w:szCs w:val="18"/>
                <w:lang w:val="en-GB" w:eastAsia="en-GB"/>
              </w:rPr>
            </w:pPr>
            <w:r w:rsidRPr="00564AA7">
              <w:rPr>
                <w:rFonts w:eastAsia="Times New Roman"/>
                <w:b/>
                <w:bCs/>
                <w:color w:val="000000"/>
                <w:sz w:val="18"/>
                <w:szCs w:val="18"/>
                <w:lang w:val="en-GB" w:eastAsia="en-GB"/>
              </w:rPr>
              <w:t>Point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0D34D" w14:textId="19932077"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1</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13B701D3" w14:textId="3C5133B9"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2</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ECDAEC0" w14:textId="123A066B"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3</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3B5F74E" w14:textId="5714F1EA"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4</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56DD5968" w14:textId="59917CF1"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5</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4BBBE1B" w14:textId="3D7308B6"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6</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3178C4B0" w14:textId="0121FBD2"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7</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11E543B" w14:textId="0FC668A1"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8</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3920912" w14:textId="49A8AAF3"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9</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14729C68" w14:textId="7F61530C" w:rsidR="008C4712" w:rsidRPr="00D07592" w:rsidRDefault="00564AA7"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10</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0BE70ED8" w14:textId="77C6884D" w:rsidR="008C4712" w:rsidRPr="00D07592" w:rsidRDefault="008C4712" w:rsidP="00564AA7">
            <w:pPr>
              <w:widowControl/>
              <w:suppressAutoHyphens w:val="0"/>
              <w:jc w:val="center"/>
              <w:rPr>
                <w:rFonts w:eastAsia="Times New Roman"/>
                <w:color w:val="000000"/>
                <w:sz w:val="18"/>
                <w:szCs w:val="18"/>
                <w:lang w:val="en-GB" w:eastAsia="en-GB"/>
              </w:rPr>
            </w:pPr>
            <w:r>
              <w:rPr>
                <w:rFonts w:eastAsia="Times New Roman"/>
                <w:color w:val="000000"/>
                <w:sz w:val="18"/>
                <w:szCs w:val="18"/>
                <w:lang w:val="en-GB" w:eastAsia="en-GB"/>
              </w:rPr>
              <w:t>LSI</w:t>
            </w:r>
          </w:p>
        </w:tc>
      </w:tr>
      <w:tr w:rsidR="008C4712" w:rsidRPr="00D07592" w14:paraId="778A75AE" w14:textId="77777777" w:rsidTr="008C4712">
        <w:trPr>
          <w:trHeight w:val="315"/>
        </w:trPr>
        <w:tc>
          <w:tcPr>
            <w:tcW w:w="846" w:type="dxa"/>
            <w:tcBorders>
              <w:top w:val="single" w:sz="4" w:space="0" w:color="auto"/>
              <w:left w:val="single" w:sz="4" w:space="0" w:color="auto"/>
              <w:bottom w:val="single" w:sz="4" w:space="0" w:color="auto"/>
              <w:right w:val="single" w:sz="4" w:space="0" w:color="auto"/>
            </w:tcBorders>
          </w:tcPr>
          <w:p w14:paraId="74746AC0" w14:textId="77777777" w:rsidR="008C4712" w:rsidRPr="00564AA7" w:rsidRDefault="008C4712" w:rsidP="00564AA7">
            <w:pPr>
              <w:widowControl/>
              <w:suppressAutoHyphens w:val="0"/>
              <w:rPr>
                <w:rFonts w:eastAsia="Times New Roman"/>
                <w:b/>
                <w:bCs/>
                <w:color w:val="000000"/>
                <w:sz w:val="18"/>
                <w:szCs w:val="18"/>
                <w:lang w:val="en-GB" w:eastAsia="en-GB"/>
              </w:rPr>
            </w:pPr>
            <w:r w:rsidRPr="00564AA7">
              <w:rPr>
                <w:rFonts w:eastAsia="Times New Roman"/>
                <w:b/>
                <w:bCs/>
                <w:color w:val="000000"/>
                <w:sz w:val="18"/>
                <w:szCs w:val="18"/>
                <w:lang w:val="en-GB" w:eastAsia="en-GB"/>
              </w:rPr>
              <w:t>Salary</w:t>
            </w:r>
          </w:p>
          <w:p w14:paraId="4B3F935E" w14:textId="30BE72BC" w:rsidR="008C4712" w:rsidRPr="00564AA7" w:rsidRDefault="008C4712" w:rsidP="00564AA7">
            <w:pPr>
              <w:widowControl/>
              <w:suppressAutoHyphens w:val="0"/>
              <w:rPr>
                <w:rFonts w:eastAsia="Times New Roman"/>
                <w:b/>
                <w:bCs/>
                <w:color w:val="000000"/>
                <w:sz w:val="18"/>
                <w:szCs w:val="18"/>
                <w:lang w:val="en-GB" w:eastAsia="en-GB"/>
              </w:rPr>
            </w:pPr>
            <w:r w:rsidRPr="00564AA7">
              <w:rPr>
                <w:rFonts w:eastAsia="Times New Roman"/>
                <w:b/>
                <w:bCs/>
                <w:color w:val="000000"/>
                <w:sz w:val="18"/>
                <w:szCs w:val="18"/>
                <w:lang w:val="en-GB" w:eastAsia="en-GB"/>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CA60" w14:textId="2893DADA" w:rsidR="008C4712" w:rsidRPr="00D07592" w:rsidRDefault="008C4712" w:rsidP="00A26062">
            <w:pPr>
              <w:widowControl/>
              <w:suppressAutoHyphens w:val="0"/>
              <w:ind w:left="-113"/>
              <w:jc w:val="right"/>
              <w:rPr>
                <w:rFonts w:eastAsia="Times New Roman"/>
                <w:color w:val="000000"/>
                <w:sz w:val="18"/>
                <w:szCs w:val="18"/>
                <w:lang w:val="en-GB" w:eastAsia="en-GB"/>
              </w:rPr>
            </w:pPr>
            <w:r w:rsidRPr="00D07592">
              <w:rPr>
                <w:rFonts w:eastAsia="Times New Roman"/>
                <w:color w:val="000000"/>
                <w:sz w:val="18"/>
                <w:szCs w:val="18"/>
                <w:lang w:val="en-GB" w:eastAsia="en-GB"/>
              </w:rPr>
              <w:t>59,419</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7FEDA109" w14:textId="77777777" w:rsidR="008C4712" w:rsidRPr="00D07592" w:rsidRDefault="008C4712" w:rsidP="00A26062">
            <w:pPr>
              <w:widowControl/>
              <w:suppressAutoHyphens w:val="0"/>
              <w:ind w:left="-50"/>
              <w:jc w:val="right"/>
              <w:rPr>
                <w:rFonts w:eastAsia="Times New Roman"/>
                <w:color w:val="000000"/>
                <w:sz w:val="18"/>
                <w:szCs w:val="18"/>
                <w:lang w:val="en-GB" w:eastAsia="en-GB"/>
              </w:rPr>
            </w:pPr>
            <w:r w:rsidRPr="00D07592">
              <w:rPr>
                <w:rFonts w:eastAsia="Times New Roman"/>
                <w:color w:val="000000"/>
                <w:sz w:val="18"/>
                <w:szCs w:val="18"/>
                <w:lang w:val="en-GB" w:eastAsia="en-GB"/>
              </w:rPr>
              <w:t>60,870</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5A47C024" w14:textId="77777777" w:rsidR="008C4712" w:rsidRPr="00D07592" w:rsidRDefault="008C4712" w:rsidP="00A26062">
            <w:pPr>
              <w:widowControl/>
              <w:suppressAutoHyphens w:val="0"/>
              <w:ind w:left="-57"/>
              <w:jc w:val="right"/>
              <w:rPr>
                <w:rFonts w:eastAsia="Times New Roman"/>
                <w:color w:val="000000"/>
                <w:sz w:val="18"/>
                <w:szCs w:val="18"/>
                <w:lang w:val="en-GB" w:eastAsia="en-GB"/>
              </w:rPr>
            </w:pPr>
            <w:r w:rsidRPr="00D07592">
              <w:rPr>
                <w:rFonts w:eastAsia="Times New Roman"/>
                <w:color w:val="000000"/>
                <w:sz w:val="18"/>
                <w:szCs w:val="18"/>
                <w:lang w:val="en-GB" w:eastAsia="en-GB"/>
              </w:rPr>
              <w:t>62,566</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0DA3183F" w14:textId="77777777" w:rsidR="008C4712" w:rsidRPr="00D07592" w:rsidRDefault="008C4712" w:rsidP="00A26062">
            <w:pPr>
              <w:widowControl/>
              <w:suppressAutoHyphens w:val="0"/>
              <w:ind w:left="-99"/>
              <w:jc w:val="right"/>
              <w:rPr>
                <w:rFonts w:eastAsia="Times New Roman"/>
                <w:color w:val="000000"/>
                <w:sz w:val="18"/>
                <w:szCs w:val="18"/>
                <w:lang w:val="en-GB" w:eastAsia="en-GB"/>
              </w:rPr>
            </w:pPr>
            <w:r w:rsidRPr="00D07592">
              <w:rPr>
                <w:rFonts w:eastAsia="Times New Roman"/>
                <w:color w:val="000000"/>
                <w:sz w:val="18"/>
                <w:szCs w:val="18"/>
                <w:lang w:val="en-GB" w:eastAsia="en-GB"/>
              </w:rPr>
              <w:t>64,268</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44E5E355" w14:textId="77777777" w:rsidR="008C4712" w:rsidRPr="00D07592" w:rsidRDefault="008C4712" w:rsidP="00A26062">
            <w:pPr>
              <w:widowControl/>
              <w:suppressAutoHyphens w:val="0"/>
              <w:ind w:left="-141"/>
              <w:jc w:val="right"/>
              <w:rPr>
                <w:rFonts w:eastAsia="Times New Roman"/>
                <w:color w:val="000000"/>
                <w:sz w:val="18"/>
                <w:szCs w:val="18"/>
                <w:lang w:val="en-GB" w:eastAsia="en-GB"/>
              </w:rPr>
            </w:pPr>
            <w:r w:rsidRPr="00D07592">
              <w:rPr>
                <w:rFonts w:eastAsia="Times New Roman"/>
                <w:color w:val="000000"/>
                <w:sz w:val="18"/>
                <w:szCs w:val="18"/>
                <w:lang w:val="en-GB" w:eastAsia="en-GB"/>
              </w:rPr>
              <w:t>65,976</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424F016E" w14:textId="77777777" w:rsidR="008C4712" w:rsidRPr="00D07592" w:rsidRDefault="008C4712" w:rsidP="00A26062">
            <w:pPr>
              <w:widowControl/>
              <w:suppressAutoHyphens w:val="0"/>
              <w:ind w:left="-42"/>
              <w:jc w:val="right"/>
              <w:rPr>
                <w:rFonts w:eastAsia="Times New Roman"/>
                <w:color w:val="000000"/>
                <w:sz w:val="18"/>
                <w:szCs w:val="18"/>
                <w:lang w:val="en-GB" w:eastAsia="en-GB"/>
              </w:rPr>
            </w:pPr>
            <w:r w:rsidRPr="00D07592">
              <w:rPr>
                <w:rFonts w:eastAsia="Times New Roman"/>
                <w:color w:val="000000"/>
                <w:sz w:val="18"/>
                <w:szCs w:val="18"/>
                <w:lang w:val="en-GB" w:eastAsia="en-GB"/>
              </w:rPr>
              <w:t>67,501</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6BF6B2B9" w14:textId="77777777" w:rsidR="008C4712" w:rsidRPr="00D07592" w:rsidRDefault="008C4712" w:rsidP="00A26062">
            <w:pPr>
              <w:widowControl/>
              <w:suppressAutoHyphens w:val="0"/>
              <w:ind w:left="-84"/>
              <w:jc w:val="right"/>
              <w:rPr>
                <w:rFonts w:eastAsia="Times New Roman"/>
                <w:color w:val="000000"/>
                <w:sz w:val="18"/>
                <w:szCs w:val="18"/>
                <w:lang w:val="en-GB" w:eastAsia="en-GB"/>
              </w:rPr>
            </w:pPr>
            <w:r w:rsidRPr="00D07592">
              <w:rPr>
                <w:rFonts w:eastAsia="Times New Roman"/>
                <w:color w:val="000000"/>
                <w:sz w:val="18"/>
                <w:szCs w:val="18"/>
                <w:lang w:val="en-GB" w:eastAsia="en-GB"/>
              </w:rPr>
              <w:t>69,054</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72335445" w14:textId="77777777" w:rsidR="008C4712" w:rsidRPr="00D07592" w:rsidRDefault="008C4712" w:rsidP="00A26062">
            <w:pPr>
              <w:widowControl/>
              <w:suppressAutoHyphens w:val="0"/>
              <w:ind w:left="-140"/>
              <w:jc w:val="right"/>
              <w:rPr>
                <w:rFonts w:eastAsia="Times New Roman"/>
                <w:color w:val="000000"/>
                <w:sz w:val="18"/>
                <w:szCs w:val="18"/>
                <w:lang w:val="en-GB" w:eastAsia="en-GB"/>
              </w:rPr>
            </w:pPr>
            <w:r w:rsidRPr="00D07592">
              <w:rPr>
                <w:rFonts w:eastAsia="Times New Roman"/>
                <w:color w:val="000000"/>
                <w:sz w:val="18"/>
                <w:szCs w:val="18"/>
                <w:lang w:val="en-GB" w:eastAsia="en-GB"/>
              </w:rPr>
              <w:t>70,566</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3634DF04" w14:textId="77777777" w:rsidR="008C4712" w:rsidRPr="00D07592" w:rsidRDefault="008C4712" w:rsidP="00A26062">
            <w:pPr>
              <w:widowControl/>
              <w:suppressAutoHyphens w:val="0"/>
              <w:ind w:left="-41"/>
              <w:jc w:val="right"/>
              <w:rPr>
                <w:rFonts w:eastAsia="Times New Roman"/>
                <w:color w:val="000000"/>
                <w:sz w:val="18"/>
                <w:szCs w:val="18"/>
                <w:lang w:val="en-GB" w:eastAsia="en-GB"/>
              </w:rPr>
            </w:pPr>
            <w:r w:rsidRPr="00D07592">
              <w:rPr>
                <w:rFonts w:eastAsia="Times New Roman"/>
                <w:color w:val="000000"/>
                <w:sz w:val="18"/>
                <w:szCs w:val="18"/>
                <w:lang w:val="en-GB" w:eastAsia="en-GB"/>
              </w:rPr>
              <w:t>72,067</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255C7159" w14:textId="77777777" w:rsidR="008C4712" w:rsidRPr="00D07592" w:rsidRDefault="008C4712" w:rsidP="00A26062">
            <w:pPr>
              <w:widowControl/>
              <w:suppressAutoHyphens w:val="0"/>
              <w:ind w:left="-83"/>
              <w:jc w:val="right"/>
              <w:rPr>
                <w:rFonts w:eastAsia="Times New Roman"/>
                <w:color w:val="000000"/>
                <w:sz w:val="18"/>
                <w:szCs w:val="18"/>
                <w:lang w:val="en-GB" w:eastAsia="en-GB"/>
              </w:rPr>
            </w:pPr>
            <w:r w:rsidRPr="00D07592">
              <w:rPr>
                <w:rFonts w:eastAsia="Times New Roman"/>
                <w:color w:val="000000"/>
                <w:sz w:val="18"/>
                <w:szCs w:val="18"/>
                <w:lang w:val="en-GB" w:eastAsia="en-GB"/>
              </w:rPr>
              <w:t>74,650</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66753574" w14:textId="4544B452" w:rsidR="008C4712" w:rsidRPr="00D07592" w:rsidRDefault="008C4712" w:rsidP="00EB67CF">
            <w:pPr>
              <w:widowControl/>
              <w:suppressAutoHyphens w:val="0"/>
              <w:ind w:left="-26"/>
              <w:jc w:val="right"/>
              <w:rPr>
                <w:rFonts w:eastAsia="Times New Roman"/>
                <w:color w:val="000000"/>
                <w:sz w:val="18"/>
                <w:szCs w:val="18"/>
                <w:lang w:val="en-GB" w:eastAsia="en-GB"/>
              </w:rPr>
            </w:pPr>
            <w:r w:rsidRPr="00D07592">
              <w:rPr>
                <w:rFonts w:eastAsia="Times New Roman"/>
                <w:color w:val="000000"/>
                <w:sz w:val="18"/>
                <w:szCs w:val="18"/>
                <w:lang w:val="en-GB" w:eastAsia="en-GB"/>
              </w:rPr>
              <w:t>77,243</w:t>
            </w:r>
          </w:p>
        </w:tc>
      </w:tr>
    </w:tbl>
    <w:p w14:paraId="1B27E39D" w14:textId="742047CA" w:rsidR="00CF2D8C" w:rsidRDefault="00000000" w:rsidP="00564AA7">
      <w:pPr>
        <w:pStyle w:val="BodyText"/>
        <w:spacing w:before="60"/>
        <w:rPr>
          <w:color w:val="303030"/>
        </w:rPr>
      </w:pPr>
      <w:r>
        <w:rPr>
          <w:rFonts w:ascii="Arial;Arial_EmbeddedFont;Arial_" w:hAnsi="Arial;Arial_EmbeddedFont;Arial_"/>
          <w:color w:val="000000"/>
          <w:sz w:val="24"/>
          <w:lang w:val="en-GB"/>
        </w:rPr>
        <w:t xml:space="preserve">Due to funding constraints, annual increments </w:t>
      </w:r>
      <w:r w:rsidR="00D07592">
        <w:rPr>
          <w:rFonts w:ascii="Arial;Arial_EmbeddedFont;Arial_" w:hAnsi="Arial;Arial_EmbeddedFont;Arial_"/>
          <w:color w:val="000000"/>
          <w:sz w:val="24"/>
          <w:lang w:val="en-GB"/>
        </w:rPr>
        <w:t>cannot currently be guaranteed</w:t>
      </w:r>
      <w:r>
        <w:rPr>
          <w:rFonts w:ascii="Arial;Arial_EmbeddedFont;Arial_" w:hAnsi="Arial;Arial_EmbeddedFont;Arial_"/>
          <w:color w:val="000000"/>
          <w:sz w:val="24"/>
          <w:lang w:val="en-GB"/>
        </w:rPr>
        <w:t>, although it is hoped that this situation will be rectified</w:t>
      </w:r>
      <w:r w:rsidR="00D07592">
        <w:rPr>
          <w:rFonts w:ascii="Arial;Arial_EmbeddedFont;Arial_" w:hAnsi="Arial;Arial_EmbeddedFont;Arial_"/>
          <w:color w:val="000000"/>
          <w:sz w:val="24"/>
          <w:lang w:val="en-GB"/>
        </w:rPr>
        <w:t xml:space="preserve"> shortly.</w:t>
      </w:r>
    </w:p>
    <w:p w14:paraId="6453C3A4" w14:textId="77777777" w:rsidR="00CF2D8C" w:rsidRDefault="00CF2D8C">
      <w:pPr>
        <w:spacing w:line="276" w:lineRule="auto"/>
      </w:pPr>
    </w:p>
    <w:p w14:paraId="7C8560F6" w14:textId="77777777" w:rsidR="00CF2D8C" w:rsidRDefault="00CF2D8C">
      <w:pPr>
        <w:spacing w:line="276" w:lineRule="auto"/>
      </w:pPr>
    </w:p>
    <w:p w14:paraId="23E5BD46" w14:textId="77777777" w:rsidR="00CF2D8C" w:rsidRDefault="00CF2D8C">
      <w:pPr>
        <w:spacing w:line="276" w:lineRule="auto"/>
      </w:pPr>
    </w:p>
    <w:p w14:paraId="3F9ADC4E" w14:textId="77777777" w:rsidR="00CF2D8C" w:rsidRDefault="00000000">
      <w:pPr>
        <w:pStyle w:val="BodyText"/>
        <w:spacing w:after="0" w:line="255" w:lineRule="atLeast"/>
        <w:jc w:val="center"/>
      </w:pPr>
      <w:r>
        <w:rPr>
          <w:rFonts w:ascii="Calibri;Calibri_EmbeddedFont;Ca" w:hAnsi="Calibri;Calibri_EmbeddedFont;Ca"/>
          <w:b/>
          <w:i/>
          <w:lang w:val="en-IE"/>
        </w:rPr>
        <w:t>This post is funded by the Department of Health through the HSE</w:t>
      </w:r>
      <w:r>
        <w:t> </w:t>
      </w:r>
    </w:p>
    <w:p w14:paraId="330266D1" w14:textId="77777777" w:rsidR="00CF2D8C" w:rsidRDefault="00CF2D8C">
      <w:pPr>
        <w:spacing w:line="276" w:lineRule="auto"/>
      </w:pPr>
    </w:p>
    <w:p w14:paraId="7E2F2887" w14:textId="77777777" w:rsidR="00CF2D8C" w:rsidRDefault="00000000">
      <w:pPr>
        <w:rPr>
          <w:bCs/>
          <w:lang w:eastAsia="zh-CN"/>
        </w:rPr>
      </w:pPr>
      <w:r>
        <w:rPr>
          <w:bCs/>
          <w:noProof/>
          <w:lang w:eastAsia="zh-CN"/>
        </w:rPr>
        <w:drawing>
          <wp:anchor distT="0" distB="0" distL="0" distR="0" simplePos="0" relativeHeight="251657216" behindDoc="0" locked="0" layoutInCell="1" allowOverlap="1" wp14:anchorId="08366DDF" wp14:editId="2B21B4B7">
            <wp:simplePos x="0" y="0"/>
            <wp:positionH relativeFrom="column">
              <wp:posOffset>1813560</wp:posOffset>
            </wp:positionH>
            <wp:positionV relativeFrom="paragraph">
              <wp:posOffset>15875</wp:posOffset>
            </wp:positionV>
            <wp:extent cx="2266315" cy="918210"/>
            <wp:effectExtent l="0" t="0" r="0" b="0"/>
            <wp:wrapNone/>
            <wp:docPr id="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Logo, company name&#10;&#10;Description automatically generated"/>
                    <pic:cNvPicPr>
                      <a:picLocks noChangeAspect="1" noChangeArrowheads="1"/>
                    </pic:cNvPicPr>
                  </pic:nvPicPr>
                  <pic:blipFill>
                    <a:blip r:embed="rId8"/>
                    <a:stretch>
                      <a:fillRect/>
                    </a:stretch>
                  </pic:blipFill>
                  <pic:spPr bwMode="auto">
                    <a:xfrm>
                      <a:off x="0" y="0"/>
                      <a:ext cx="2266315" cy="918210"/>
                    </a:xfrm>
                    <a:prstGeom prst="rect">
                      <a:avLst/>
                    </a:prstGeom>
                    <a:noFill/>
                  </pic:spPr>
                </pic:pic>
              </a:graphicData>
            </a:graphic>
          </wp:anchor>
        </w:drawing>
      </w:r>
      <w:r>
        <w:rPr>
          <w:bCs/>
          <w:noProof/>
          <w:lang w:eastAsia="zh-CN"/>
        </w:rPr>
        <w:drawing>
          <wp:inline distT="0" distB="0" distL="0" distR="0" wp14:anchorId="471EACDE" wp14:editId="7EDA990F">
            <wp:extent cx="1289685" cy="969010"/>
            <wp:effectExtent l="0" t="0" r="0" b="0"/>
            <wp:docPr id="3" name="Image1" descr="Diagram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DiagramDescription automatically generated, Picture"/>
                    <pic:cNvPicPr>
                      <a:picLocks noChangeAspect="1" noChangeArrowheads="1"/>
                    </pic:cNvPicPr>
                  </pic:nvPicPr>
                  <pic:blipFill>
                    <a:blip r:embed="rId9"/>
                    <a:stretch>
                      <a:fillRect/>
                    </a:stretch>
                  </pic:blipFill>
                  <pic:spPr bwMode="auto">
                    <a:xfrm>
                      <a:off x="0" y="0"/>
                      <a:ext cx="1289685" cy="969010"/>
                    </a:xfrm>
                    <a:prstGeom prst="rect">
                      <a:avLst/>
                    </a:prstGeom>
                    <a:noFill/>
                  </pic:spPr>
                </pic:pic>
              </a:graphicData>
            </a:graphic>
          </wp:inline>
        </w:drawing>
      </w:r>
      <w:r>
        <w:rPr>
          <w:bCs/>
          <w:noProof/>
          <w:lang w:eastAsia="zh-CN"/>
        </w:rPr>
        <w:drawing>
          <wp:anchor distT="0" distB="0" distL="0" distR="0" simplePos="0" relativeHeight="251659264" behindDoc="0" locked="0" layoutInCell="1" allowOverlap="1" wp14:anchorId="232EE18B" wp14:editId="588F462B">
            <wp:simplePos x="0" y="0"/>
            <wp:positionH relativeFrom="column">
              <wp:posOffset>4518660</wp:posOffset>
            </wp:positionH>
            <wp:positionV relativeFrom="paragraph">
              <wp:posOffset>-4445</wp:posOffset>
            </wp:positionV>
            <wp:extent cx="1371600" cy="914400"/>
            <wp:effectExtent l="0" t="0" r="0" b="0"/>
            <wp:wrapNone/>
            <wp:docPr id="4"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logo&#10;&#10;Description automatically generated"/>
                    <pic:cNvPicPr>
                      <a:picLocks noChangeAspect="1" noChangeArrowheads="1"/>
                    </pic:cNvPicPr>
                  </pic:nvPicPr>
                  <pic:blipFill>
                    <a:blip r:embed="rId10"/>
                    <a:stretch>
                      <a:fillRect/>
                    </a:stretch>
                  </pic:blipFill>
                  <pic:spPr bwMode="auto">
                    <a:xfrm>
                      <a:off x="0" y="0"/>
                      <a:ext cx="1371600" cy="914400"/>
                    </a:xfrm>
                    <a:prstGeom prst="rect">
                      <a:avLst/>
                    </a:prstGeom>
                    <a:noFill/>
                  </pic:spPr>
                </pic:pic>
              </a:graphicData>
            </a:graphic>
          </wp:anchor>
        </w:drawing>
      </w:r>
    </w:p>
    <w:sectPr w:rsidR="00CF2D8C" w:rsidSect="00EB67CF">
      <w:footerReference w:type="even" r:id="rId11"/>
      <w:footerReference w:type="default" r:id="rId12"/>
      <w:footerReference w:type="first" r:id="rId13"/>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777A" w14:textId="77777777" w:rsidR="00BA1C73" w:rsidRDefault="00BA1C73">
      <w:r>
        <w:separator/>
      </w:r>
    </w:p>
  </w:endnote>
  <w:endnote w:type="continuationSeparator" w:id="0">
    <w:p w14:paraId="409C6995" w14:textId="77777777" w:rsidR="00BA1C73" w:rsidRDefault="00BA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Arial_EmbeddedFont;Arial_">
    <w:altName w:val="Arial"/>
    <w:panose1 w:val="00000000000000000000"/>
    <w:charset w:val="00"/>
    <w:family w:val="roman"/>
    <w:notTrueType/>
    <w:pitch w:val="default"/>
  </w:font>
  <w:font w:name="Calibri;Calibri_EmbeddedFont;C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2ECE" w14:textId="77777777" w:rsidR="00CF2D8C" w:rsidRDefault="00CF2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351321"/>
      <w:docPartObj>
        <w:docPartGallery w:val="Page Numbers (Bottom of Page)"/>
        <w:docPartUnique/>
      </w:docPartObj>
    </w:sdtPr>
    <w:sdtContent>
      <w:p w14:paraId="6A270758" w14:textId="77777777" w:rsidR="00CF2D8C" w:rsidRDefault="00000000">
        <w:pPr>
          <w:pStyle w:val="Footer"/>
          <w:jc w:val="center"/>
        </w:pPr>
        <w:r>
          <w:fldChar w:fldCharType="begin"/>
        </w:r>
        <w:r>
          <w:instrText xml:space="preserve"> PAGE </w:instrText>
        </w:r>
        <w:r>
          <w:fldChar w:fldCharType="separate"/>
        </w:r>
        <w:r>
          <w:t>3</w:t>
        </w:r>
        <w:r>
          <w:fldChar w:fldCharType="end"/>
        </w:r>
      </w:p>
    </w:sdtContent>
  </w:sdt>
  <w:p w14:paraId="76519CAC" w14:textId="77777777" w:rsidR="00CF2D8C" w:rsidRDefault="00CF2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298488"/>
      <w:docPartObj>
        <w:docPartGallery w:val="Page Numbers (Bottom of Page)"/>
        <w:docPartUnique/>
      </w:docPartObj>
    </w:sdtPr>
    <w:sdtContent>
      <w:p w14:paraId="4311A4FF" w14:textId="77777777" w:rsidR="00CF2D8C" w:rsidRDefault="00000000">
        <w:pPr>
          <w:pStyle w:val="Footer"/>
          <w:jc w:val="center"/>
        </w:pPr>
        <w:r>
          <w:fldChar w:fldCharType="begin"/>
        </w:r>
        <w:r>
          <w:instrText xml:space="preserve"> PAGE </w:instrText>
        </w:r>
        <w:r>
          <w:fldChar w:fldCharType="separate"/>
        </w:r>
        <w:r>
          <w:t>3</w:t>
        </w:r>
        <w:r>
          <w:fldChar w:fldCharType="end"/>
        </w:r>
      </w:p>
    </w:sdtContent>
  </w:sdt>
  <w:p w14:paraId="16F3A0CF" w14:textId="77777777" w:rsidR="00CF2D8C" w:rsidRDefault="00CF2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891E3" w14:textId="77777777" w:rsidR="00BA1C73" w:rsidRDefault="00BA1C73">
      <w:r>
        <w:separator/>
      </w:r>
    </w:p>
  </w:footnote>
  <w:footnote w:type="continuationSeparator" w:id="0">
    <w:p w14:paraId="438B71E5" w14:textId="77777777" w:rsidR="00BA1C73" w:rsidRDefault="00BA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B54DA"/>
    <w:multiLevelType w:val="multilevel"/>
    <w:tmpl w:val="F86ABA8E"/>
    <w:lvl w:ilvl="0">
      <w:start w:val="1"/>
      <w:numFmt w:val="bullet"/>
      <w:lvlText w:val=""/>
      <w:lvlJc w:val="left"/>
      <w:pPr>
        <w:tabs>
          <w:tab w:val="num" w:pos="788"/>
        </w:tabs>
        <w:ind w:left="788" w:hanging="360"/>
      </w:pPr>
      <w:rPr>
        <w:rFonts w:ascii="Wingdings" w:hAnsi="Wingdings" w:cs="Wingdings" w:hint="default"/>
      </w:rPr>
    </w:lvl>
    <w:lvl w:ilvl="1">
      <w:start w:val="1"/>
      <w:numFmt w:val="bullet"/>
      <w:lvlText w:val="◦"/>
      <w:lvlJc w:val="left"/>
      <w:pPr>
        <w:tabs>
          <w:tab w:val="num" w:pos="1148"/>
        </w:tabs>
        <w:ind w:left="1148" w:hanging="360"/>
      </w:pPr>
      <w:rPr>
        <w:rFonts w:ascii="OpenSymbol" w:hAnsi="OpenSymbol" w:cs="OpenSymbol" w:hint="default"/>
      </w:rPr>
    </w:lvl>
    <w:lvl w:ilvl="2">
      <w:start w:val="1"/>
      <w:numFmt w:val="bullet"/>
      <w:lvlText w:val="▪"/>
      <w:lvlJc w:val="left"/>
      <w:pPr>
        <w:tabs>
          <w:tab w:val="num" w:pos="1508"/>
        </w:tabs>
        <w:ind w:left="1508" w:hanging="360"/>
      </w:pPr>
      <w:rPr>
        <w:rFonts w:ascii="OpenSymbol" w:hAnsi="OpenSymbol" w:cs="OpenSymbol" w:hint="default"/>
      </w:rPr>
    </w:lvl>
    <w:lvl w:ilvl="3">
      <w:start w:val="1"/>
      <w:numFmt w:val="bullet"/>
      <w:lvlText w:val=""/>
      <w:lvlJc w:val="left"/>
      <w:pPr>
        <w:tabs>
          <w:tab w:val="num" w:pos="1868"/>
        </w:tabs>
        <w:ind w:left="1868" w:hanging="360"/>
      </w:pPr>
      <w:rPr>
        <w:rFonts w:ascii="Symbol" w:hAnsi="Symbol" w:cs="Symbol" w:hint="default"/>
      </w:rPr>
    </w:lvl>
    <w:lvl w:ilvl="4">
      <w:start w:val="1"/>
      <w:numFmt w:val="bullet"/>
      <w:lvlText w:val="◦"/>
      <w:lvlJc w:val="left"/>
      <w:pPr>
        <w:tabs>
          <w:tab w:val="num" w:pos="2228"/>
        </w:tabs>
        <w:ind w:left="2228" w:hanging="360"/>
      </w:pPr>
      <w:rPr>
        <w:rFonts w:ascii="OpenSymbol" w:hAnsi="OpenSymbol" w:cs="OpenSymbol" w:hint="default"/>
      </w:rPr>
    </w:lvl>
    <w:lvl w:ilvl="5">
      <w:start w:val="1"/>
      <w:numFmt w:val="bullet"/>
      <w:lvlText w:val="▪"/>
      <w:lvlJc w:val="left"/>
      <w:pPr>
        <w:tabs>
          <w:tab w:val="num" w:pos="2588"/>
        </w:tabs>
        <w:ind w:left="2588" w:hanging="360"/>
      </w:pPr>
      <w:rPr>
        <w:rFonts w:ascii="OpenSymbol" w:hAnsi="OpenSymbol" w:cs="OpenSymbol" w:hint="default"/>
      </w:rPr>
    </w:lvl>
    <w:lvl w:ilvl="6">
      <w:start w:val="1"/>
      <w:numFmt w:val="bullet"/>
      <w:lvlText w:val=""/>
      <w:lvlJc w:val="left"/>
      <w:pPr>
        <w:tabs>
          <w:tab w:val="num" w:pos="2948"/>
        </w:tabs>
        <w:ind w:left="2948" w:hanging="360"/>
      </w:pPr>
      <w:rPr>
        <w:rFonts w:ascii="Symbol" w:hAnsi="Symbol" w:cs="Symbol" w:hint="default"/>
      </w:rPr>
    </w:lvl>
    <w:lvl w:ilvl="7">
      <w:start w:val="1"/>
      <w:numFmt w:val="bullet"/>
      <w:lvlText w:val="◦"/>
      <w:lvlJc w:val="left"/>
      <w:pPr>
        <w:tabs>
          <w:tab w:val="num" w:pos="3308"/>
        </w:tabs>
        <w:ind w:left="3308" w:hanging="360"/>
      </w:pPr>
      <w:rPr>
        <w:rFonts w:ascii="OpenSymbol" w:hAnsi="OpenSymbol" w:cs="OpenSymbol" w:hint="default"/>
      </w:rPr>
    </w:lvl>
    <w:lvl w:ilvl="8">
      <w:start w:val="1"/>
      <w:numFmt w:val="bullet"/>
      <w:lvlText w:val="▪"/>
      <w:lvlJc w:val="left"/>
      <w:pPr>
        <w:tabs>
          <w:tab w:val="num" w:pos="3668"/>
        </w:tabs>
        <w:ind w:left="3668" w:hanging="360"/>
      </w:pPr>
      <w:rPr>
        <w:rFonts w:ascii="OpenSymbol" w:hAnsi="OpenSymbol" w:cs="OpenSymbol" w:hint="default"/>
      </w:rPr>
    </w:lvl>
  </w:abstractNum>
  <w:abstractNum w:abstractNumId="1" w15:restartNumberingAfterBreak="0">
    <w:nsid w:val="36DC4E30"/>
    <w:multiLevelType w:val="multilevel"/>
    <w:tmpl w:val="B516AC5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F2F7284"/>
    <w:multiLevelType w:val="multilevel"/>
    <w:tmpl w:val="04B4E6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7326451"/>
    <w:multiLevelType w:val="multilevel"/>
    <w:tmpl w:val="A4C4A29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478376782">
    <w:abstractNumId w:val="1"/>
  </w:num>
  <w:num w:numId="2" w16cid:durableId="1797024283">
    <w:abstractNumId w:val="2"/>
  </w:num>
  <w:num w:numId="3" w16cid:durableId="1170488997">
    <w:abstractNumId w:val="3"/>
  </w:num>
  <w:num w:numId="4" w16cid:durableId="45089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8C"/>
    <w:rsid w:val="000B4DF3"/>
    <w:rsid w:val="0036236E"/>
    <w:rsid w:val="003D17E6"/>
    <w:rsid w:val="00484BAA"/>
    <w:rsid w:val="00502901"/>
    <w:rsid w:val="00564AA7"/>
    <w:rsid w:val="005D7984"/>
    <w:rsid w:val="00636715"/>
    <w:rsid w:val="008B7F2D"/>
    <w:rsid w:val="008C4712"/>
    <w:rsid w:val="00901FD9"/>
    <w:rsid w:val="009124A6"/>
    <w:rsid w:val="009C4502"/>
    <w:rsid w:val="00A26062"/>
    <w:rsid w:val="00A91BD2"/>
    <w:rsid w:val="00AC78F5"/>
    <w:rsid w:val="00AE57A6"/>
    <w:rsid w:val="00B24C49"/>
    <w:rsid w:val="00BA1C73"/>
    <w:rsid w:val="00BC03A3"/>
    <w:rsid w:val="00C30A27"/>
    <w:rsid w:val="00CE12E4"/>
    <w:rsid w:val="00CF2D8C"/>
    <w:rsid w:val="00D07592"/>
    <w:rsid w:val="00E24E7D"/>
    <w:rsid w:val="00E33B9F"/>
    <w:rsid w:val="00EB67C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7338"/>
  <w15:docId w15:val="{0D17A56A-E3A7-45BE-92D0-BAE238CE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9FB"/>
    <w:pPr>
      <w:widowControl w:val="0"/>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103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9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9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9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9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03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103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103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103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103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103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103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103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1039FB"/>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1039FB"/>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1039FB"/>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1039FB"/>
    <w:rPr>
      <w:i/>
      <w:iCs/>
      <w:color w:val="404040" w:themeColor="text1" w:themeTint="BF"/>
    </w:rPr>
  </w:style>
  <w:style w:type="character" w:styleId="IntenseEmphasis">
    <w:name w:val="Intense Emphasis"/>
    <w:basedOn w:val="DefaultParagraphFont"/>
    <w:uiPriority w:val="21"/>
    <w:qFormat/>
    <w:rsid w:val="001039FB"/>
    <w:rPr>
      <w:i/>
      <w:iCs/>
      <w:color w:val="0F4761" w:themeColor="accent1" w:themeShade="BF"/>
    </w:rPr>
  </w:style>
  <w:style w:type="character" w:customStyle="1" w:styleId="IntenseQuoteChar">
    <w:name w:val="Intense Quote Char"/>
    <w:basedOn w:val="DefaultParagraphFont"/>
    <w:link w:val="IntenseQuote"/>
    <w:uiPriority w:val="30"/>
    <w:qFormat/>
    <w:rsid w:val="001039FB"/>
    <w:rPr>
      <w:i/>
      <w:iCs/>
      <w:color w:val="0F4761" w:themeColor="accent1" w:themeShade="BF"/>
    </w:rPr>
  </w:style>
  <w:style w:type="character" w:styleId="IntenseReference">
    <w:name w:val="Intense Reference"/>
    <w:basedOn w:val="DefaultParagraphFont"/>
    <w:uiPriority w:val="32"/>
    <w:qFormat/>
    <w:rsid w:val="001039FB"/>
    <w:rPr>
      <w:b/>
      <w:bCs/>
      <w:smallCaps/>
      <w:color w:val="0F4761" w:themeColor="accent1" w:themeShade="BF"/>
      <w:spacing w:val="5"/>
    </w:rPr>
  </w:style>
  <w:style w:type="character" w:customStyle="1" w:styleId="HeaderChar">
    <w:name w:val="Header Char"/>
    <w:basedOn w:val="DefaultParagraphFont"/>
    <w:link w:val="Header"/>
    <w:uiPriority w:val="99"/>
    <w:qFormat/>
    <w:rsid w:val="0050047A"/>
    <w:rPr>
      <w:rFonts w:ascii="Arial" w:eastAsia="Arial" w:hAnsi="Arial" w:cs="Arial"/>
      <w:kern w:val="0"/>
      <w:sz w:val="22"/>
      <w:szCs w:val="22"/>
      <w:lang w:val="en-US"/>
      <w14:ligatures w14:val="none"/>
    </w:rPr>
  </w:style>
  <w:style w:type="character" w:customStyle="1" w:styleId="FooterChar">
    <w:name w:val="Footer Char"/>
    <w:basedOn w:val="DefaultParagraphFont"/>
    <w:link w:val="Footer"/>
    <w:uiPriority w:val="99"/>
    <w:qFormat/>
    <w:rsid w:val="0050047A"/>
    <w:rPr>
      <w:rFonts w:ascii="Arial" w:eastAsia="Arial" w:hAnsi="Arial" w:cs="Arial"/>
      <w:kern w:val="0"/>
      <w:sz w:val="22"/>
      <w:szCs w:val="22"/>
      <w:lang w:val="en-US"/>
      <w14:ligatures w14:val="none"/>
    </w:rPr>
  </w:style>
  <w:style w:type="character" w:customStyle="1" w:styleId="FootnoteCharacters">
    <w:name w:val="Footnote Characters"/>
    <w:qFormat/>
  </w:style>
  <w:style w:type="character" w:styleId="FootnoteReference">
    <w:name w:val="footnote reference"/>
    <w:rPr>
      <w:vertAlign w:val="superscript"/>
    </w:rPr>
  </w:style>
  <w:style w:type="character" w:customStyle="1" w:styleId="EndnoteCharacters">
    <w:name w:val="Endnote Characters"/>
    <w:qFormat/>
  </w:style>
  <w:style w:type="character" w:styleId="EndnoteReference">
    <w:name w:val="endnote reference"/>
    <w:rPr>
      <w:vertAlign w:val="superscript"/>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link w:val="TitleChar"/>
    <w:uiPriority w:val="10"/>
    <w:qFormat/>
    <w:rsid w:val="001039FB"/>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103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9FB"/>
    <w:pPr>
      <w:spacing w:before="160"/>
      <w:jc w:val="center"/>
    </w:pPr>
    <w:rPr>
      <w:i/>
      <w:iCs/>
      <w:color w:val="404040" w:themeColor="text1" w:themeTint="BF"/>
    </w:rPr>
  </w:style>
  <w:style w:type="paragraph" w:styleId="ListParagraph">
    <w:name w:val="List Paragraph"/>
    <w:basedOn w:val="Normal"/>
    <w:link w:val="ListParagraphChar"/>
    <w:qFormat/>
    <w:rsid w:val="001039FB"/>
    <w:pPr>
      <w:ind w:left="720"/>
      <w:contextualSpacing/>
    </w:pPr>
  </w:style>
  <w:style w:type="paragraph" w:styleId="IntenseQuote">
    <w:name w:val="Intense Quote"/>
    <w:basedOn w:val="Normal"/>
    <w:next w:val="Normal"/>
    <w:link w:val="IntenseQuoteChar"/>
    <w:uiPriority w:val="30"/>
    <w:qFormat/>
    <w:rsid w:val="00103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NoSpacing">
    <w:name w:val="No Spacing"/>
    <w:uiPriority w:val="1"/>
    <w:qFormat/>
    <w:rsid w:val="001039FB"/>
    <w:rPr>
      <w:rFonts w:ascii="Aptos" w:eastAsia="Aptos" w:hAnsi="Aptos"/>
      <w:kern w:val="0"/>
      <w:sz w:val="22"/>
      <w:szCs w:val="22"/>
      <w:lang w:val="en-IE"/>
      <w14:ligatures w14:val="non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0047A"/>
    <w:pPr>
      <w:tabs>
        <w:tab w:val="center" w:pos="4513"/>
        <w:tab w:val="right" w:pos="9026"/>
      </w:tabs>
    </w:pPr>
  </w:style>
  <w:style w:type="paragraph" w:styleId="Footer">
    <w:name w:val="footer"/>
    <w:basedOn w:val="Normal"/>
    <w:link w:val="FooterChar"/>
    <w:uiPriority w:val="99"/>
    <w:unhideWhenUsed/>
    <w:rsid w:val="0050047A"/>
    <w:pPr>
      <w:tabs>
        <w:tab w:val="center" w:pos="4513"/>
        <w:tab w:val="right" w:pos="9026"/>
      </w:tabs>
    </w:pPr>
  </w:style>
  <w:style w:type="paragraph" w:styleId="FootnoteText">
    <w:name w:val="footnote text"/>
    <w:basedOn w:val="Normal"/>
    <w:pPr>
      <w:suppressLineNumbers/>
      <w:ind w:left="340" w:hanging="340"/>
    </w:pPr>
    <w:rPr>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1039F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qFormat/>
    <w:locked/>
    <w:rsid w:val="00564AA7"/>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60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CCRAS Manager</dc:creator>
  <dc:description/>
  <cp:lastModifiedBy>CCRAS Manager</cp:lastModifiedBy>
  <cp:revision>3</cp:revision>
  <cp:lastPrinted>2025-05-05T14:39:00Z</cp:lastPrinted>
  <dcterms:created xsi:type="dcterms:W3CDTF">2025-05-08T08:26:00Z</dcterms:created>
  <dcterms:modified xsi:type="dcterms:W3CDTF">2025-05-08T08:28:00Z</dcterms:modified>
  <dc:language>en-GB</dc:language>
</cp:coreProperties>
</file>