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80" w:line="240" w:lineRule="auto"/>
        <w:ind w:left="0" w:firstLine="0"/>
        <w:jc w:val="center"/>
        <w:rPr>
          <w:rFonts w:ascii="Montserrat" w:cs="Montserrat" w:eastAsia="Montserrat" w:hAnsi="Montserrat"/>
          <w:color w:val="333333"/>
          <w:sz w:val="22"/>
          <w:szCs w:val="22"/>
        </w:rPr>
      </w:pPr>
      <w:bookmarkStart w:colFirst="0" w:colLast="0" w:name="_heading=h.qywh53qs90cv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8"/>
          <w:szCs w:val="28"/>
          <w:rtl w:val="0"/>
        </w:rPr>
        <w:t xml:space="preserve">Director of Volunteer Welfare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hd w:fill="ffffff" w:val="clear"/>
        <w:spacing w:after="80" w:line="240" w:lineRule="auto"/>
        <w:ind w:left="720" w:hanging="360"/>
        <w:jc w:val="center"/>
        <w:rPr>
          <w:rFonts w:ascii="Montserrat" w:cs="Montserrat" w:eastAsia="Montserrat" w:hAnsi="Montserrat"/>
          <w:b w:val="1"/>
          <w:color w:val="333333"/>
          <w:sz w:val="24"/>
          <w:szCs w:val="24"/>
          <w:u w:val="single"/>
        </w:rPr>
      </w:pPr>
      <w:bookmarkStart w:colFirst="0" w:colLast="0" w:name="_heading=h.yiuaf41zi1k5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4"/>
          <w:szCs w:val="24"/>
          <w:u w:val="single"/>
          <w:rtl w:val="0"/>
        </w:rPr>
        <w:t xml:space="preserve">Core Responsibilities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hd w:fill="ffffff" w:val="clear"/>
        <w:spacing w:before="2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mglf58kv26az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Volunteer Wellbeing and Emotional Support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Oversee and ensure the emotional welfare of all volunteers across Haven Hub CLG branches.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Facilitate access to appropriate supports such as debriefing sessions, supervision, and personal counselling when needed.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Maintain regular contact with volunteers to assess their wellbeing, needs, and ongoing suitability for their roles.</w:t>
        <w:br w:type="textWrapping"/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hd w:fill="ffffff" w:val="clear"/>
        <w:spacing w:before="2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f9qd2d9f00dl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External Supervision &amp; Support Services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Liaise with external agencies to arrange adequate supervision and mental health supports for both volunteers and members of the Board of Directors.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Assist in arranging supports and forming sub-committees where necessary to prevent burnout among volunteers, directors, or committee members.</w:t>
        <w:br w:type="textWrapping"/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hd w:fill="ffffff" w:val="clear"/>
        <w:spacing w:before="2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wk2try4u73aq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Student Placement Oversight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Oversee psychotherapy and other students on placement within the organisation.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Ensure the follow-up service provided by placement students is running effectively.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Manage placement-related responsibilities including tracking of hours, regular check-ins, and completion of all necessary paperwork.</w:t>
        <w:br w:type="textWrapping"/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hd w:fill="ffffff" w:val="clear"/>
        <w:spacing w:before="2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ebybj12x2r0d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Board Welfare and Capacity Management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Promote the overall welfare of the Board of Directors, encouraging each member to engage with appropriate training and wellbeing supports.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Advocate for a balanced distribution of responsibilities across the Board to avoid over-reliance on individual directors.</w:t>
        <w:br w:type="textWrapping"/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hd w:fill="ffffff" w:val="clear"/>
        <w:spacing w:before="2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olsz96q2k74q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Volunteer Disciplinary and Complaints Handling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Handle all complaints raised by or about volunteers.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Lead on volunteer disciplinary actions where necessary, in collaboration with the Communications Director when appropriate.</w:t>
        <w:br w:type="textWrapping"/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hd w:fill="ffffff" w:val="clear"/>
        <w:spacing w:after="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nhiz5aj5i6sp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Operational Commitments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Complete all mandatory volunteer training (e.g., Induction, Child First, Safeguarding etc).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Provide regular reports at Board meetings detailing the status of volunteer wellbeing and related activities.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Attend at least 70% of committee meetings.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Only cast a vote on the Board of Directors in the event of a tie.</w:t>
        <w:br w:type="textWrapping"/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hd w:fill="ffffff" w:val="clear"/>
        <w:spacing w:after="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w0zfol59h6q0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Legal Duties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Ensure Haven Hub CLGis fulfilling its charitable purposes for the public benefit.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Comply with the organisation’s Governing Document and charity law.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Be accountable for your actions and ensure legal compliance across all activities.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Manage the charity’s human and emotional resources responsibly.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Act in the best interests of Haven Hub CLG at all times.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240" w:before="0" w:beforeAutospacing="0" w:line="240" w:lineRule="auto"/>
        <w:ind w:left="720" w:hanging="360"/>
        <w:rPr>
          <w:rFonts w:ascii="Montserrat" w:cs="Montserrat" w:eastAsia="Montserrat" w:hAnsi="Montserrat"/>
          <w:color w:val="333333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Carry out duties with reasonable care, diligence, and professional skill.</w:t>
        <w:br w:type="textWrapping"/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hd w:fill="ffffff" w:val="clear"/>
        <w:spacing w:before="280" w:line="240" w:lineRule="auto"/>
        <w:ind w:left="720" w:hanging="360"/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</w:rPr>
      </w:pPr>
      <w:bookmarkStart w:colFirst="0" w:colLast="0" w:name="_heading=h.1njjvohpypk2" w:id="9"/>
      <w:bookmarkEnd w:id="9"/>
      <w:r w:rsidDel="00000000" w:rsidR="00000000" w:rsidRPr="00000000">
        <w:rPr>
          <w:rFonts w:ascii="Montserrat" w:cs="Montserrat" w:eastAsia="Montserrat" w:hAnsi="Montserrat"/>
          <w:b w:val="1"/>
          <w:color w:val="333333"/>
          <w:sz w:val="20"/>
          <w:szCs w:val="20"/>
          <w:u w:val="single"/>
          <w:rtl w:val="0"/>
        </w:rPr>
        <w:t xml:space="preserve">Essential Skills and Experience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before="240" w:line="2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Proven ability to dedicate sufficient time for Board duties and consistent engagement with volunteer matters.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Strong understanding of governance standards and a commitment to upholding best practice in volunteer welfare.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Strategic thinking skills, particularly in managing volunteer structures and burnout prevention.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Background or training in counselling, supervision, HR, psychology, social care, or a related field is highly desirable.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240" w:before="0" w:beforeAutospacing="0" w:line="240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color w:val="333333"/>
          <w:sz w:val="20"/>
          <w:szCs w:val="20"/>
          <w:rtl w:val="0"/>
        </w:rPr>
        <w:t xml:space="preserve">Excellent interpersonal and communication skills, with the ability to provide compassionate leadership.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360" w:lineRule="auto"/>
      <w:jc w:val="center"/>
      <w:rPr>
        <w:rFonts w:ascii="Times New Roman" w:cs="Times New Roman" w:eastAsia="Times New Roman" w:hAnsi="Times New Roman"/>
        <w:sz w:val="13"/>
        <w:szCs w:val="13"/>
      </w:rPr>
    </w:pPr>
    <w:r w:rsidDel="00000000" w:rsidR="00000000" w:rsidRPr="00000000">
      <w:rPr>
        <w:i w:val="1"/>
        <w:sz w:val="13"/>
        <w:szCs w:val="13"/>
        <w:rtl w:val="0"/>
      </w:rPr>
      <w:t xml:space="preserve">The Haven Hub CLG is a registered charity, limited by guarantee, not having a Share Capital</w:t>
    </w:r>
    <w:r w:rsidDel="00000000" w:rsidR="00000000" w:rsidRPr="00000000">
      <w:rPr>
        <w:rFonts w:ascii="Times New Roman" w:cs="Times New Roman" w:eastAsia="Times New Roman" w:hAnsi="Times New Roman"/>
        <w:i w:val="1"/>
        <w:sz w:val="13"/>
        <w:szCs w:val="13"/>
        <w:rtl w:val="0"/>
      </w:rPr>
      <w:t xml:space="preserve">. </w:t>
    </w:r>
    <w:r w:rsidDel="00000000" w:rsidR="00000000" w:rsidRPr="00000000">
      <w:rPr>
        <w:i w:val="1"/>
        <w:sz w:val="13"/>
        <w:szCs w:val="13"/>
        <w:rtl w:val="0"/>
      </w:rPr>
      <w:t xml:space="preserve">Registered Charity Number: 20206256; Company Number 666069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line="360" w:lineRule="auto"/>
      <w:jc w:val="center"/>
      <w:rPr>
        <w:sz w:val="13"/>
        <w:szCs w:val="13"/>
      </w:rPr>
    </w:pPr>
    <w:r w:rsidDel="00000000" w:rsidR="00000000" w:rsidRPr="00000000">
      <w:rPr>
        <w:i w:val="1"/>
        <w:sz w:val="13"/>
        <w:szCs w:val="13"/>
        <w:rtl w:val="0"/>
      </w:rPr>
      <w:t xml:space="preserve">Directors: Leona O’Callaghan, Eric Culligan, Nicola McLawrence, Michelle Carty, Yvonne O’Dwyer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line="360" w:lineRule="auto"/>
      <w:jc w:val="center"/>
      <w:rPr/>
    </w:pPr>
    <w:r w:rsidDel="00000000" w:rsidR="00000000" w:rsidRPr="00000000">
      <w:rPr>
        <w:i w:val="1"/>
        <w:sz w:val="13"/>
        <w:szCs w:val="13"/>
        <w:rtl w:val="0"/>
      </w:rPr>
      <w:t xml:space="preserve">Secretary: Michael Kiely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line="240" w:lineRule="auto"/>
      <w:rPr/>
    </w:pPr>
    <w:r w:rsidDel="00000000" w:rsidR="00000000" w:rsidRPr="00000000">
      <w:rPr>
        <w:rFonts w:ascii="Montserrat" w:cs="Montserrat" w:eastAsia="Montserrat" w:hAnsi="Montserrat"/>
        <w:color w:val="1f3864"/>
        <w:sz w:val="24"/>
        <w:szCs w:val="24"/>
      </w:rPr>
      <w:drawing>
        <wp:inline distB="0" distT="0" distL="114300" distR="114300">
          <wp:extent cx="5943600" cy="838200"/>
          <wp:effectExtent b="0" l="0" r="0" t="0"/>
          <wp:docPr descr="A black background with a black square&#10;&#10;Description automatically generated with medium confidence" id="3" name="image1.png"/>
          <a:graphic>
            <a:graphicData uri="http://schemas.openxmlformats.org/drawingml/2006/picture">
              <pic:pic>
                <pic:nvPicPr>
                  <pic:cNvPr descr="A black background with a black square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55430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XBEghuZRVvOaSVu+h48J54lW2A==">CgMxLjAyDmgucXl3aDUzcXM5MGN2Mg5oLnlpdWFmNDF6aTFrNTIOaC5tZ2xmNThrdjI2YXoyDmguZjlxZDJkOWYwMGRsMg5oLndrMnRyeTR1NzNhcTIOaC5lYnliajEyeDJyMGQyDmgub2xzejk2cTJrNzRxMg5oLm5oaXo1YWo1aTZzcDIOaC53MHpmb2w1OWg2cTAyDmguMW5qanZvaHB5cGsyOAByITF2OFRMWm5qeEQ5RUowOE9LTF9ZTE9vQ0g0OTVicWVzZQ==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2025-04-12T16:04:00Z</dcterms:created>
</cp:coreProperties>
</file>